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hint="eastAsia" w:asciiTheme="minorEastAsia" w:hAnsiTheme="minorEastAsia" w:eastAsiaTheme="minorEastAsia"/>
          <w:b/>
          <w:snapToGrid w:val="0"/>
          <w:kern w:val="0"/>
          <w:sz w:val="70"/>
          <w:szCs w:val="70"/>
          <w:lang w:eastAsia="zh-CN"/>
        </w:rPr>
      </w:pPr>
      <w:r>
        <w:rPr>
          <w:rFonts w:hint="eastAsia" w:asciiTheme="minorEastAsia" w:hAnsiTheme="minorEastAsia" w:eastAsiaTheme="minorEastAsia"/>
          <w:b/>
          <w:bCs/>
          <w:snapToGrid w:val="0"/>
          <w:kern w:val="0"/>
          <w:sz w:val="70"/>
          <w:szCs w:val="70"/>
          <w:lang w:eastAsia="zh-CN"/>
        </w:rPr>
        <w:t>荧光定量PCR仪</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货物类招标文件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hint="eastAsia" w:asciiTheme="minorEastAsia" w:hAnsiTheme="minorEastAsia" w:eastAsiaTheme="minorEastAsia"/>
          <w:b/>
          <w:snapToGrid w:val="0"/>
          <w:kern w:val="0"/>
          <w:sz w:val="32"/>
          <w:lang w:eastAsia="zh-CN"/>
        </w:rPr>
      </w:pPr>
      <w:r>
        <w:rPr>
          <w:rFonts w:hint="eastAsia" w:asciiTheme="minorEastAsia" w:hAnsiTheme="minorEastAsia" w:eastAsiaTheme="minorEastAsia"/>
          <w:b/>
          <w:snapToGrid w:val="0"/>
          <w:kern w:val="0"/>
          <w:sz w:val="32"/>
        </w:rPr>
        <w:t>项目编号：</w:t>
      </w:r>
      <w:r>
        <w:rPr>
          <w:rFonts w:hint="eastAsia" w:asciiTheme="minorEastAsia" w:hAnsiTheme="minorEastAsia" w:eastAsiaTheme="minorEastAsia"/>
          <w:b/>
          <w:snapToGrid w:val="0"/>
          <w:kern w:val="0"/>
          <w:sz w:val="32"/>
          <w:lang w:eastAsia="zh-CN"/>
        </w:rPr>
        <w:t>SZZZ2022-QA0304</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rPr>
          <w:rFonts w:eastAsia="经典标宋简"/>
          <w:b/>
          <w:snapToGrid w:val="0"/>
          <w:kern w:val="0"/>
          <w:sz w:val="44"/>
        </w:rPr>
      </w:pPr>
      <w:r>
        <w:rPr>
          <w:rFonts w:eastAsia="经典标宋简"/>
          <w:b/>
          <w:snapToGrid w:val="0"/>
          <w:kern w:val="0"/>
          <w:sz w:val="44"/>
        </w:rPr>
        <w:t xml:space="preserve"> </w:t>
      </w:r>
    </w:p>
    <w:p>
      <w:pPr>
        <w:pStyle w:val="28"/>
        <w:adjustRightInd w:val="0"/>
        <w:snapToGrid w:val="0"/>
        <w:spacing w:line="300" w:lineRule="auto"/>
        <w:jc w:val="center"/>
        <w:rPr>
          <w:rFonts w:ascii="Times New Roman" w:hAnsi="Times New Roman" w:eastAsia="经典等线简"/>
          <w:b/>
          <w:snapToGrid w:val="0"/>
          <w:sz w:val="30"/>
        </w:rPr>
      </w:pPr>
    </w:p>
    <w:p/>
    <w:p/>
    <w:p>
      <w:pPr>
        <w:pStyle w:val="28"/>
        <w:adjustRightInd w:val="0"/>
        <w:snapToGrid w:val="0"/>
        <w:spacing w:line="300" w:lineRule="auto"/>
        <w:ind w:hanging="835"/>
        <w:jc w:val="center"/>
        <w:rPr>
          <w:b/>
          <w:kern w:val="0"/>
          <w:sz w:val="28"/>
          <w:szCs w:val="28"/>
        </w:rPr>
      </w:pPr>
      <w:r>
        <w:rPr>
          <w:rFonts w:hint="eastAsia"/>
          <w:b/>
          <w:snapToGrid w:val="0"/>
          <w:sz w:val="30"/>
        </w:rPr>
        <w:t>二〇二二年</w:t>
      </w:r>
      <w:r>
        <w:rPr>
          <w:rFonts w:hint="eastAsia"/>
          <w:b/>
          <w:snapToGrid w:val="0"/>
          <w:sz w:val="30"/>
          <w:lang w:eastAsia="zh-CN"/>
        </w:rPr>
        <w:t>十一</w:t>
      </w:r>
      <w:r>
        <w:rPr>
          <w:rFonts w:hint="eastAsia"/>
          <w:b/>
          <w:snapToGrid w:val="0"/>
          <w:sz w:val="30"/>
        </w:rPr>
        <w:t>月</w:t>
      </w:r>
      <w:r>
        <w:rPr>
          <w:b/>
          <w:kern w:val="0"/>
          <w:sz w:val="28"/>
          <w:szCs w:val="28"/>
        </w:rPr>
        <w:br w:type="page"/>
      </w:r>
    </w:p>
    <w:p>
      <w:pPr>
        <w:adjustRightInd w:val="0"/>
        <w:snapToGrid w:val="0"/>
        <w:spacing w:line="300" w:lineRule="auto"/>
        <w:jc w:val="left"/>
        <w:rPr>
          <w:b/>
          <w:kern w:val="0"/>
          <w:sz w:val="28"/>
          <w:szCs w:val="28"/>
        </w:rPr>
      </w:pP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投标供应商涉嫌存在串通投标等违法行为的，将书面报告财政主管部门依法处理。</w:t>
      </w:r>
      <w:r>
        <w:rPr>
          <w:rFonts w:hint="eastAsia" w:ascii="仿宋" w:hAnsi="仿宋" w:eastAsia="仿宋"/>
          <w:sz w:val="24"/>
        </w:rPr>
        <w:cr/>
      </w:r>
    </w:p>
    <w:sdt>
      <w:sdtPr>
        <w:rPr>
          <w:rFonts w:ascii="Times New Roman" w:hAnsi="Times New Roman" w:eastAsia="宋体" w:cs="Times New Roman"/>
          <w:b w:val="0"/>
          <w:bCs w:val="0"/>
          <w:iCs/>
          <w:smallCap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val="0"/>
          <w:smallCaps/>
          <w:color w:val="auto"/>
          <w:kern w:val="2"/>
          <w:sz w:val="21"/>
          <w:szCs w:val="24"/>
          <w:lang w:val="en-US"/>
        </w:rPr>
      </w:sdtEndPr>
      <w:sdtContent>
        <w:p>
          <w:pPr>
            <w:pStyle w:val="504"/>
            <w:jc w:val="center"/>
            <w:rPr>
              <w:color w:val="auto"/>
              <w:lang w:val="zh-CN"/>
            </w:rPr>
          </w:pPr>
          <w:r>
            <w:rPr>
              <w:color w:val="auto"/>
              <w:lang w:val="zh-CN"/>
            </w:rPr>
            <w:t>目</w:t>
          </w:r>
          <w:r>
            <w:rPr>
              <w:rFonts w:hint="eastAsia"/>
              <w:color w:val="auto"/>
              <w:lang w:val="zh-CN"/>
            </w:rPr>
            <w:t xml:space="preserve">  </w:t>
          </w:r>
          <w:r>
            <w:rPr>
              <w:color w:val="auto"/>
              <w:lang w:val="zh-CN"/>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"_Toc110410285"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"_Toc110410287"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_Toc110410287 \h </w:instrText>
          </w:r>
          <w:r>
            <w:rPr>
              <w:rFonts w:hint="eastAsia" w:ascii="仿宋_GB2312" w:eastAsia="仿宋_GB2312"/>
              <w:sz w:val="24"/>
            </w:rPr>
            <w:fldChar w:fldCharType="separate"/>
          </w:r>
          <w:r>
            <w:rPr>
              <w:rFonts w:hint="eastAsia" w:ascii="仿宋_GB2312" w:eastAsia="仿宋_GB2312"/>
              <w:sz w:val="24"/>
            </w:rPr>
            <w:t>13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"_Toc110410288"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_Toc110410288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"_Toc110410289"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_Toc110410289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"_Toc110410290"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_Toc110410290 \h </w:instrText>
          </w:r>
          <w:r>
            <w:rPr>
              <w:rFonts w:hint="eastAsia" w:ascii="仿宋_GB2312" w:eastAsia="仿宋_GB2312"/>
              <w:sz w:val="24"/>
            </w:rPr>
            <w:fldChar w:fldCharType="separate"/>
          </w:r>
          <w:r>
            <w:rPr>
              <w:rFonts w:hint="eastAsia" w:ascii="仿宋_GB2312" w:eastAsia="仿宋_GB2312"/>
              <w:sz w:val="24"/>
            </w:rPr>
            <w:t>14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"_Toc110410291"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_Toc110410291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"_Toc110410292"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_Toc110410292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"_Toc110410293"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_Toc110410293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"_Toc110410294"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_Toc110410294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"_Toc110410295"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_Toc110410295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"_Toc110410296"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_Toc110410296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"_Toc110410297"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_Toc110410297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"_Toc110410298"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_Toc110410298 \h </w:instrText>
          </w:r>
          <w:r>
            <w:rPr>
              <w:rFonts w:hint="eastAsia" w:ascii="仿宋_GB2312" w:eastAsia="仿宋_GB2312"/>
              <w:sz w:val="24"/>
            </w:rPr>
            <w:fldChar w:fldCharType="separate"/>
          </w:r>
          <w:r>
            <w:rPr>
              <w:rFonts w:hint="eastAsia" w:ascii="仿宋_GB2312" w:eastAsia="仿宋_GB2312"/>
              <w:sz w:val="24"/>
            </w:rPr>
            <w:t>24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"_Toc110410299" </w:instrText>
          </w:r>
          <w:r>
            <w:fldChar w:fldCharType="separate"/>
          </w:r>
          <w:r>
            <w:rPr>
              <w:rStyle w:val="57"/>
              <w:rFonts w:hint="eastAsia" w:ascii="仿宋_GB2312" w:eastAsia="仿宋_GB2312"/>
              <w:sz w:val="24"/>
            </w:rPr>
            <w:t>四、投标文件的递交</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_Toc110410299 \h </w:instrText>
          </w:r>
          <w:r>
            <w:rPr>
              <w:rFonts w:hint="eastAsia" w:ascii="仿宋_GB2312" w:eastAsia="仿宋_GB2312"/>
              <w:sz w:val="24"/>
            </w:rPr>
            <w:fldChar w:fldCharType="separate"/>
          </w:r>
          <w:r>
            <w:rPr>
              <w:rFonts w:hint="eastAsia" w:ascii="仿宋_GB2312" w:eastAsia="仿宋_GB2312"/>
              <w:sz w:val="24"/>
            </w:rPr>
            <w:t>26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"_Toc110410300"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_Toc110410300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"_Toc110410301"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_Toc110410301 \h </w:instrText>
          </w:r>
          <w:r>
            <w:rPr>
              <w:rFonts w:hint="eastAsia" w:ascii="仿宋_GB2312" w:eastAsia="仿宋_GB2312"/>
              <w:sz w:val="24"/>
            </w:rPr>
            <w:fldChar w:fldCharType="separate"/>
          </w:r>
          <w:r>
            <w:rPr>
              <w:rFonts w:hint="eastAsia" w:ascii="仿宋_GB2312" w:eastAsia="仿宋_GB2312"/>
              <w:sz w:val="24"/>
            </w:rPr>
            <w:t>30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"_Toc110410302"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_Toc110410302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"_Toc110410303"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_Toc110410303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"_Toc110410304"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_Toc110410304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"_Toc110410305"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_Toc110410305 \h </w:instrText>
          </w:r>
          <w:r>
            <w:rPr>
              <w:rFonts w:hint="eastAsia" w:ascii="仿宋_GB2312" w:eastAsia="仿宋_GB2312"/>
              <w:sz w:val="24"/>
            </w:rPr>
            <w:fldChar w:fldCharType="separate"/>
          </w:r>
          <w:r>
            <w:rPr>
              <w:rFonts w:hint="eastAsia" w:ascii="仿宋_GB2312" w:eastAsia="仿宋_GB2312"/>
              <w:sz w:val="24"/>
            </w:rPr>
            <w:t>36</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"_Toc110410306" </w:instrText>
          </w:r>
          <w:r>
            <w:fldChar w:fldCharType="separate"/>
          </w:r>
          <w:r>
            <w:rPr>
              <w:rStyle w:val="57"/>
              <w:rFonts w:hint="eastAsia" w:ascii="仿宋_GB2312" w:hAnsi="仿宋" w:eastAsia="仿宋_GB2312"/>
              <w:sz w:val="24"/>
            </w:rPr>
            <w:t>政府采购违法行为风险知悉确认书</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_Toc110410306 \h </w:instrText>
          </w:r>
          <w:r>
            <w:rPr>
              <w:rFonts w:hint="eastAsia" w:ascii="仿宋_GB2312" w:eastAsia="仿宋_GB2312"/>
              <w:sz w:val="24"/>
            </w:rPr>
            <w:fldChar w:fldCharType="separate"/>
          </w:r>
          <w:r>
            <w:rPr>
              <w:rFonts w:hint="eastAsia" w:ascii="仿宋_GB2312" w:eastAsia="仿宋_GB2312"/>
              <w:sz w:val="24"/>
            </w:rPr>
            <w:t>37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"_Toc110410307"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_Toc110410307 \h </w:instrText>
          </w:r>
          <w:r>
            <w:rPr>
              <w:rFonts w:hint="eastAsia" w:ascii="仿宋_GB2312" w:eastAsia="仿宋_GB2312"/>
              <w:sz w:val="24"/>
            </w:rPr>
            <w:fldChar w:fldCharType="separate"/>
          </w:r>
          <w:r>
            <w:rPr>
              <w:rFonts w:hint="eastAsia" w:ascii="仿宋_GB2312" w:eastAsia="仿宋_GB2312"/>
              <w:sz w:val="24"/>
            </w:rPr>
            <w:t>39</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"_Toc110410308"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_Toc110410308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"_Toc110410309"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_Toc110410309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"_Toc110410310"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_Toc110410310 \h </w:instrText>
          </w:r>
          <w:r>
            <w:rPr>
              <w:rFonts w:hint="eastAsia" w:ascii="仿宋_GB2312" w:eastAsia="仿宋_GB2312"/>
              <w:sz w:val="24"/>
            </w:rPr>
            <w:fldChar w:fldCharType="separate"/>
          </w:r>
          <w:r>
            <w:rPr>
              <w:rFonts w:hint="eastAsia" w:ascii="仿宋_GB2312" w:eastAsia="仿宋_GB2312"/>
              <w:sz w:val="24"/>
            </w:rPr>
            <w:t>64</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"_Toc110410311"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_Toc110410311 \h </w:instrText>
          </w:r>
          <w:r>
            <w:rPr>
              <w:rFonts w:hint="eastAsia" w:ascii="仿宋_GB2312" w:eastAsia="仿宋_GB2312"/>
              <w:sz w:val="24"/>
            </w:rPr>
            <w:fldChar w:fldCharType="separate"/>
          </w:r>
          <w:r>
            <w:rPr>
              <w:rFonts w:hint="eastAsia" w:ascii="仿宋_GB2312" w:eastAsia="仿宋_GB2312"/>
              <w:sz w:val="24"/>
            </w:rPr>
            <w:t>68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"_Toc110410312" </w:instrText>
          </w:r>
          <w:r>
            <w:fldChar w:fldCharType="separate"/>
          </w:r>
          <w:r>
            <w:rPr>
              <w:rStyle w:val="57"/>
              <w:rFonts w:hint="eastAsia" w:ascii="仿宋_GB2312" w:eastAsia="仿宋_GB2312"/>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_Toc110410312 \h </w:instrText>
          </w:r>
          <w:r>
            <w:rPr>
              <w:rFonts w:hint="eastAsia" w:ascii="仿宋_GB2312" w:eastAsia="仿宋_GB2312"/>
              <w:sz w:val="24"/>
            </w:rPr>
            <w:fldChar w:fldCharType="separate"/>
          </w:r>
          <w:r>
            <w:rPr>
              <w:rFonts w:hint="eastAsia" w:ascii="仿宋_GB2312" w:eastAsia="仿宋_GB2312"/>
              <w:sz w:val="24"/>
            </w:rPr>
            <w:t>71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pPr>
          <w:r>
            <w:fldChar w:fldCharType="begin"/>
          </w:r>
          <w:r>
            <w:instrText xml:space="preserve"> HYPERLINK \l "_Toc110410313"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_Toc110410313 \h </w:instrText>
          </w:r>
          <w:r>
            <w:rPr>
              <w:rFonts w:hint="eastAsia" w:ascii="仿宋_GB2312" w:eastAsia="仿宋_GB2312"/>
              <w:sz w:val="24"/>
            </w:rPr>
            <w:fldChar w:fldCharType="separate"/>
          </w:r>
          <w:r>
            <w:rPr>
              <w:rFonts w:hint="eastAsia" w:ascii="仿宋_GB2312" w:eastAsia="仿宋_GB2312"/>
              <w:sz w:val="24"/>
            </w:rPr>
            <w:t>74</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pStyle w:val="41"/>
        <w:tabs>
          <w:tab w:val="right" w:leader="dot" w:pos="9628"/>
        </w:tabs>
        <w:spacing w:line="360" w:lineRule="exact"/>
      </w:pPr>
      <w:r>
        <w:br w:type="page"/>
      </w:r>
    </w:p>
    <w:p/>
    <w:p>
      <w:pPr>
        <w:pStyle w:val="3"/>
      </w:pPr>
      <w:bookmarkStart w:id="0" w:name="_Toc11041028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lang w:eastAsia="zh-CN"/>
        </w:rPr>
        <w:t>荧光定量PCR仪</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11</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25</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15</w:t>
      </w:r>
      <w:r>
        <w:rPr>
          <w:rFonts w:hint="eastAsia" w:ascii="宋体" w:hAnsi="宋体" w:cs="Arial Unicode MS"/>
          <w:snapToGrid w:val="0"/>
          <w:kern w:val="0"/>
          <w:szCs w:val="21"/>
          <w:u w:val="single"/>
        </w:rPr>
        <w:t>点</w:t>
      </w:r>
      <w:r>
        <w:rPr>
          <w:rFonts w:hint="eastAsia" w:ascii="宋体" w:hAnsi="宋体" w:cs="Arial Unicode MS"/>
          <w:snapToGrid w:val="0"/>
          <w:kern w:val="0"/>
          <w:szCs w:val="21"/>
          <w:u w:val="single"/>
          <w:lang w:val="en-US" w:eastAsia="zh-CN"/>
        </w:rPr>
        <w:t>0</w:t>
      </w:r>
      <w:r>
        <w:rPr>
          <w:rFonts w:hint="eastAsia" w:ascii="宋体" w:hAnsi="宋体" w:cs="Arial Unicode MS"/>
          <w:snapToGrid w:val="0"/>
          <w:kern w:val="0"/>
          <w:szCs w:val="21"/>
          <w:u w:val="single"/>
        </w:rPr>
        <w:t>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1、项目编号：</w:t>
      </w:r>
      <w:r>
        <w:rPr>
          <w:rFonts w:hint="eastAsia" w:asciiTheme="minorEastAsia" w:hAnsiTheme="minorEastAsia" w:eastAsiaTheme="minorEastAsia"/>
          <w:sz w:val="21"/>
          <w:szCs w:val="21"/>
          <w:lang w:eastAsia="zh-CN"/>
        </w:rPr>
        <w:t>SZZZ2022-QA0304</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b/>
          <w:snapToGrid w:val="0"/>
          <w:color w:val="auto"/>
          <w:sz w:val="21"/>
          <w:szCs w:val="21"/>
          <w:lang w:eastAsia="zh-CN"/>
        </w:rPr>
      </w:pPr>
      <w:r>
        <w:rPr>
          <w:rFonts w:hint="eastAsia" w:ascii="宋体" w:hAnsi="宋体" w:eastAsia="宋体"/>
          <w:snapToGrid w:val="0"/>
          <w:color w:val="auto"/>
          <w:sz w:val="21"/>
          <w:szCs w:val="21"/>
        </w:rPr>
        <w:t>2、项目名称：</w:t>
      </w:r>
      <w:r>
        <w:rPr>
          <w:rFonts w:hint="eastAsia" w:ascii="宋体" w:hAnsi="宋体" w:eastAsia="宋体"/>
          <w:snapToGrid w:val="0"/>
          <w:color w:val="auto"/>
          <w:sz w:val="21"/>
          <w:szCs w:val="21"/>
          <w:lang w:eastAsia="zh-CN"/>
        </w:rPr>
        <w:t>荧光定量PCR仪</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80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u w:val="single"/>
          <w:lang w:val="en-US" w:eastAsia="zh-CN"/>
        </w:rPr>
        <w:t>80</w:t>
      </w:r>
      <w:r>
        <w:rPr>
          <w:rFonts w:hint="eastAsia" w:ascii="宋体" w:hAnsi="宋体" w:eastAsia="宋体"/>
          <w:snapToGrid w:val="0"/>
          <w:color w:val="auto"/>
          <w:sz w:val="21"/>
          <w:szCs w:val="21"/>
          <w:u w:val="single"/>
        </w:rPr>
        <w:t xml:space="preserve">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708"/>
        <w:gridCol w:w="3261"/>
        <w:gridCol w:w="850"/>
        <w:gridCol w:w="851"/>
        <w:gridCol w:w="297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61" w:type="dxa"/>
            <w:shd w:val="clear" w:color="auto" w:fill="ABCDEF"/>
            <w:vAlign w:val="center"/>
          </w:tcPr>
          <w:p>
            <w:pPr>
              <w:pStyle w:val="45"/>
              <w:spacing w:line="360" w:lineRule="auto"/>
              <w:jc w:val="center"/>
              <w:rPr>
                <w:sz w:val="21"/>
              </w:rPr>
            </w:pPr>
            <w:r>
              <w:rPr>
                <w:sz w:val="21"/>
              </w:rPr>
              <w:t>标的名称</w:t>
            </w:r>
          </w:p>
        </w:tc>
        <w:tc>
          <w:tcPr>
            <w:tcW w:w="850"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851"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977"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134"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462" w:hRule="atLeast"/>
        </w:trPr>
        <w:tc>
          <w:tcPr>
            <w:tcW w:w="708"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szCs w:val="21"/>
              </w:rPr>
            </w:pPr>
            <w:r>
              <w:rPr>
                <w:rFonts w:hint="eastAsia" w:ascii="宋体" w:hAnsi="宋体" w:cs="宋体"/>
                <w:sz w:val="21"/>
                <w:szCs w:val="21"/>
              </w:rPr>
              <w:t>1</w:t>
            </w:r>
          </w:p>
        </w:tc>
        <w:tc>
          <w:tcPr>
            <w:tcW w:w="3261" w:type="dxa"/>
            <w:shd w:val="clear" w:color="auto" w:fill="auto"/>
            <w:vAlign w:val="center"/>
          </w:tcPr>
          <w:p>
            <w:pPr>
              <w:pStyle w:val="45"/>
              <w:spacing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eastAsia="zh-CN"/>
              </w:rPr>
              <w:t>荧光定量PCR仪</w:t>
            </w:r>
          </w:p>
        </w:tc>
        <w:tc>
          <w:tcPr>
            <w:tcW w:w="850" w:type="dxa"/>
            <w:shd w:val="clear" w:color="auto" w:fill="auto"/>
            <w:vAlign w:val="center"/>
          </w:tcPr>
          <w:p>
            <w:pPr>
              <w:pStyle w:val="45"/>
              <w:spacing w:before="0" w:beforeAutospacing="0" w:after="0" w:afterAutospacing="0"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val="en-US" w:eastAsia="zh-CN"/>
              </w:rPr>
              <w:t>4</w:t>
            </w:r>
            <w:bookmarkStart w:id="91" w:name="_GoBack"/>
            <w:bookmarkEnd w:id="91"/>
          </w:p>
        </w:tc>
        <w:tc>
          <w:tcPr>
            <w:tcW w:w="851" w:type="dxa"/>
            <w:shd w:val="clear" w:color="auto" w:fill="auto"/>
            <w:vAlign w:val="center"/>
          </w:tcPr>
          <w:p>
            <w:pPr>
              <w:pStyle w:val="45"/>
              <w:spacing w:before="0" w:beforeAutospacing="0" w:after="0" w:afterAutospacing="0" w:line="360" w:lineRule="auto"/>
              <w:jc w:val="center"/>
              <w:rPr>
                <w:rFonts w:hint="eastAsia" w:asciiTheme="minorEastAsia" w:hAnsiTheme="minorEastAsia" w:eastAsiaTheme="minorEastAsia"/>
                <w:sz w:val="21"/>
                <w:szCs w:val="21"/>
                <w:lang w:eastAsia="zh-CN"/>
              </w:rPr>
            </w:pPr>
            <w:r>
              <w:rPr>
                <w:rFonts w:hint="eastAsia" w:ascii="宋体" w:hAnsi="宋体" w:cs="宋体" w:eastAsiaTheme="minorEastAsia"/>
                <w:sz w:val="21"/>
                <w:szCs w:val="21"/>
                <w:lang w:eastAsia="zh-CN"/>
              </w:rPr>
              <w:t>套</w:t>
            </w:r>
          </w:p>
        </w:tc>
        <w:tc>
          <w:tcPr>
            <w:tcW w:w="297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134" w:type="dxa"/>
            <w:shd w:val="clear" w:color="auto" w:fill="auto"/>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及政府采购严重违法失信行为记录名单（“信用中国”（www.creditchina.gov.cn）“信用服务”栏的“重大税收违法失信主体”、“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6）投标人须提供国家企业信用信息公示系统（https://www.gsxt.gov.cn/index.html）、机关赋码和事业单位登记管理网（http://www.gjsy.gov.cn/sydwfrxxcx/）或全国社会组织信用信息公示平台（https://xxgs.chinanpo.mca.gov.cn/gsxt/newList）网站截图，作为不同供应商之间不存在单位负责人为同一人或者直接控股、管理关系的补充证明；</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（7）本项目不接受联合体投标，不允许非法分包或转包；</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（8）本项目不接受进口产品投标（进口产品是指通过中国海关报关验放进入中国境内且产自关境外的产品，相关内容以“财库【2007】119号文”和“财办库【2008】248号文”的相关规定为准）。</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14</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21</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11</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25</w:t>
      </w:r>
      <w:r>
        <w:rPr>
          <w:rFonts w:hint="eastAsia" w:ascii="宋体" w:hAnsi="宋体" w:eastAsia="宋体"/>
          <w:snapToGrid w:val="0"/>
          <w:color w:val="auto"/>
          <w:sz w:val="21"/>
          <w:szCs w:val="21"/>
          <w:u w:val="single"/>
        </w:rPr>
        <w:t>日1</w:t>
      </w:r>
      <w:r>
        <w:rPr>
          <w:rFonts w:hint="eastAsia" w:ascii="宋体" w:hAnsi="宋体" w:eastAsia="宋体"/>
          <w:snapToGrid w:val="0"/>
          <w:color w:val="auto"/>
          <w:sz w:val="21"/>
          <w:szCs w:val="21"/>
          <w:u w:val="single"/>
          <w:lang w:val="en-US" w:eastAsia="zh-CN"/>
        </w:rPr>
        <w:t>5</w:t>
      </w:r>
      <w:r>
        <w:rPr>
          <w:rFonts w:hint="eastAsia" w:ascii="宋体" w:hAnsi="宋体" w:eastAsia="宋体"/>
          <w:snapToGrid w:val="0"/>
          <w:color w:val="auto"/>
          <w:sz w:val="21"/>
          <w:szCs w:val="21"/>
          <w:u w:val="single"/>
        </w:rPr>
        <w:t>点</w:t>
      </w:r>
      <w:r>
        <w:rPr>
          <w:rFonts w:hint="eastAsia" w:ascii="宋体" w:hAnsi="宋体" w:eastAsia="宋体"/>
          <w:snapToGrid w:val="0"/>
          <w:color w:val="auto"/>
          <w:sz w:val="21"/>
          <w:szCs w:val="21"/>
          <w:u w:val="single"/>
          <w:lang w:val="en-US" w:eastAsia="zh-CN"/>
        </w:rPr>
        <w:t>0</w:t>
      </w:r>
      <w:r>
        <w:rPr>
          <w:rFonts w:hint="eastAsia" w:ascii="宋体" w:hAnsi="宋体" w:eastAsia="宋体"/>
          <w:snapToGrid w:val="0"/>
          <w:color w:val="auto"/>
          <w:sz w:val="21"/>
          <w:szCs w:val="21"/>
          <w:u w:val="single"/>
        </w:rPr>
        <w:t>0分（北京时间）</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、《关于环境标志产品政府采购实施的意见》（财库〔</w:t>
      </w:r>
      <w:r>
        <w:rPr>
          <w:rFonts w:ascii="宋体" w:hAnsi="宋体" w:eastAsia="宋体"/>
          <w:snapToGrid w:val="0"/>
          <w:color w:val="auto"/>
          <w:sz w:val="21"/>
          <w:szCs w:val="21"/>
        </w:rPr>
        <w:t>2006</w:t>
      </w:r>
      <w:r>
        <w:rPr>
          <w:rFonts w:hint="eastAsia" w:ascii="宋体" w:hAnsi="宋体" w:eastAsia="宋体"/>
          <w:snapToGrid w:val="0"/>
          <w:color w:val="auto"/>
          <w:sz w:val="21"/>
          <w:szCs w:val="21"/>
        </w:rPr>
        <w:t>〕</w:t>
      </w:r>
      <w:r>
        <w:rPr>
          <w:rFonts w:ascii="宋体" w:hAnsi="宋体" w:eastAsia="宋体"/>
          <w:snapToGrid w:val="0"/>
          <w:color w:val="auto"/>
          <w:sz w:val="21"/>
          <w:szCs w:val="21"/>
        </w:rPr>
        <w:t>90</w:t>
      </w:r>
      <w:r>
        <w:rPr>
          <w:rFonts w:hint="eastAsia" w:ascii="宋体" w:hAnsi="宋体" w:eastAsia="宋体"/>
          <w:snapToGrid w:val="0"/>
          <w:color w:val="auto"/>
          <w:sz w:val="21"/>
          <w:szCs w:val="21"/>
        </w:rPr>
        <w:t>号）、《关于印发&lt;节能产品政府采购实施意见&gt;的通知》（财库〔</w:t>
      </w:r>
      <w:r>
        <w:rPr>
          <w:rFonts w:ascii="宋体" w:hAnsi="宋体" w:eastAsia="宋体"/>
          <w:snapToGrid w:val="0"/>
          <w:color w:val="auto"/>
          <w:sz w:val="21"/>
          <w:szCs w:val="21"/>
        </w:rPr>
        <w:t>2004</w:t>
      </w:r>
      <w:r>
        <w:rPr>
          <w:rFonts w:hint="eastAsia" w:ascii="宋体" w:hAnsi="宋体" w:eastAsia="宋体"/>
          <w:snapToGrid w:val="0"/>
          <w:color w:val="auto"/>
          <w:sz w:val="21"/>
          <w:szCs w:val="21"/>
        </w:rPr>
        <w:t>〕</w:t>
      </w:r>
      <w:r>
        <w:rPr>
          <w:rFonts w:ascii="宋体" w:hAnsi="宋体" w:eastAsia="宋体"/>
          <w:snapToGrid w:val="0"/>
          <w:color w:val="auto"/>
          <w:sz w:val="21"/>
          <w:szCs w:val="21"/>
        </w:rPr>
        <w:t>185</w:t>
      </w:r>
      <w:r>
        <w:rPr>
          <w:rFonts w:hint="eastAsia" w:ascii="宋体" w:hAnsi="宋体" w:eastAsia="宋体"/>
          <w:snapToGrid w:val="0"/>
          <w:color w:val="auto"/>
          <w:sz w:val="21"/>
          <w:szCs w:val="21"/>
        </w:rPr>
        <w:t>号）、《关于调整优化节能产品、环境标志产品政府采购执行机制的通知》（财库〔</w:t>
      </w:r>
      <w:r>
        <w:rPr>
          <w:rFonts w:ascii="宋体" w:hAnsi="宋体" w:eastAsia="宋体"/>
          <w:snapToGrid w:val="0"/>
          <w:color w:val="auto"/>
          <w:sz w:val="21"/>
          <w:szCs w:val="21"/>
        </w:rPr>
        <w:t>2019</w:t>
      </w:r>
      <w:r>
        <w:rPr>
          <w:rFonts w:hint="eastAsia" w:ascii="宋体" w:hAnsi="宋体" w:eastAsia="宋体"/>
          <w:snapToGrid w:val="0"/>
          <w:color w:val="auto"/>
          <w:sz w:val="21"/>
          <w:szCs w:val="21"/>
        </w:rPr>
        <w:t>〕</w:t>
      </w:r>
      <w:r>
        <w:rPr>
          <w:rFonts w:ascii="宋体" w:hAnsi="宋体" w:eastAsia="宋体"/>
          <w:snapToGrid w:val="0"/>
          <w:color w:val="auto"/>
          <w:sz w:val="21"/>
          <w:szCs w:val="21"/>
        </w:rPr>
        <w:t>9</w:t>
      </w:r>
      <w:r>
        <w:rPr>
          <w:rFonts w:hint="eastAsia" w:ascii="宋体" w:hAnsi="宋体" w:eastAsia="宋体"/>
          <w:snapToGrid w:val="0"/>
          <w:color w:val="auto"/>
          <w:sz w:val="21"/>
          <w:szCs w:val="21"/>
        </w:rPr>
        <w:t>号）。</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名称：深圳市中医院</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地址：深圳市福田区福华路1号</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联系方式：黄先生，</w:t>
      </w:r>
      <w:r>
        <w:rPr>
          <w:rFonts w:ascii="宋体" w:hAnsi="宋体" w:eastAsia="宋体"/>
          <w:snapToGrid w:val="0"/>
          <w:color w:val="auto"/>
          <w:sz w:val="21"/>
          <w:szCs w:val="21"/>
        </w:rPr>
        <w:t>0755-88359666</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eastAsia="zh-CN"/>
        </w:rPr>
        <w:t>李</w:t>
      </w:r>
      <w:r>
        <w:rPr>
          <w:rFonts w:hint="eastAsia" w:ascii="宋体" w:hAnsi="宋体" w:eastAsia="宋体"/>
          <w:snapToGrid w:val="0"/>
          <w:color w:val="auto"/>
          <w:sz w:val="21"/>
          <w:szCs w:val="21"/>
        </w:rPr>
        <w:t>先生，0755-83026699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w:t>
      </w:r>
      <w:r>
        <w:rPr>
          <w:rFonts w:hint="eastAsia" w:ascii="宋体" w:hAnsi="宋体" w:eastAsia="宋体"/>
          <w:snapToGrid w:val="0"/>
          <w:color w:val="auto"/>
          <w:sz w:val="21"/>
          <w:szCs w:val="21"/>
          <w:lang w:eastAsia="zh-CN"/>
        </w:rPr>
        <w:t>李</w:t>
      </w:r>
      <w:r>
        <w:rPr>
          <w:rFonts w:hint="eastAsia" w:ascii="宋体" w:hAnsi="宋体" w:eastAsia="宋体"/>
          <w:snapToGrid w:val="0"/>
          <w:color w:val="auto"/>
          <w:sz w:val="21"/>
          <w:szCs w:val="21"/>
        </w:rPr>
        <w:t>先生</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rPr>
          <w:rFonts w:eastAsiaTheme="minorEastAsia"/>
          <w:b/>
          <w:kern w:val="44"/>
          <w:szCs w:val="21"/>
        </w:rPr>
      </w:pPr>
      <w:r>
        <w:rPr>
          <w:rFonts w:ascii="宋体" w:hAnsi="宋体"/>
          <w:snapToGrid w:val="0"/>
          <w:kern w:val="0"/>
          <w:sz w:val="24"/>
        </w:rPr>
        <w:t>2022年</w:t>
      </w:r>
      <w:r>
        <w:rPr>
          <w:rFonts w:hint="eastAsia" w:ascii="宋体" w:hAnsi="宋体"/>
          <w:snapToGrid w:val="0"/>
          <w:kern w:val="0"/>
          <w:sz w:val="24"/>
          <w:lang w:val="en-US" w:eastAsia="zh-CN"/>
        </w:rPr>
        <w:t>11</w:t>
      </w:r>
      <w:r>
        <w:rPr>
          <w:rFonts w:ascii="宋体" w:hAnsi="宋体"/>
          <w:snapToGrid w:val="0"/>
          <w:kern w:val="0"/>
          <w:sz w:val="24"/>
        </w:rPr>
        <w:t>月</w:t>
      </w:r>
      <w:r>
        <w:rPr>
          <w:rFonts w:hint="eastAsia" w:ascii="宋体" w:hAnsi="宋体"/>
          <w:snapToGrid w:val="0"/>
          <w:kern w:val="0"/>
          <w:sz w:val="24"/>
          <w:lang w:val="en-US" w:eastAsia="zh-CN"/>
        </w:rPr>
        <w:t>14</w:t>
      </w:r>
      <w:r>
        <w:rPr>
          <w:rFonts w:hint="eastAsia" w:ascii="宋体" w:hAnsi="宋体"/>
          <w:snapToGrid w:val="0"/>
          <w:kern w:val="0"/>
          <w:sz w:val="24"/>
        </w:rPr>
        <w:t>日</w:t>
      </w:r>
      <w:r>
        <w:rPr>
          <w:szCs w:val="21"/>
        </w:rPr>
        <w:br w:type="page"/>
      </w:r>
    </w:p>
    <w:p>
      <w:pPr>
        <w:pStyle w:val="3"/>
        <w:spacing w:line="240" w:lineRule="auto"/>
        <w:rPr>
          <w:sz w:val="21"/>
          <w:szCs w:val="21"/>
        </w:rPr>
      </w:pPr>
    </w:p>
    <w:p>
      <w:pPr>
        <w:pStyle w:val="3"/>
      </w:pPr>
      <w:bookmarkStart w:id="1" w:name="_Toc110410286"/>
      <w:r>
        <w:rPr>
          <w:rFonts w:hint="eastAsia"/>
        </w:rPr>
        <w:t>第二章  项目需求</w:t>
      </w:r>
      <w:bookmarkEnd w:id="1"/>
    </w:p>
    <w:p>
      <w:pPr>
        <w:spacing w:afterLines="50" w:line="360" w:lineRule="auto"/>
        <w:ind w:left="2"/>
        <w:jc w:val="center"/>
        <w:rPr>
          <w:rFonts w:ascii="宋体" w:hAnsi="宋体"/>
          <w:b/>
          <w:sz w:val="28"/>
          <w:szCs w:val="28"/>
        </w:rPr>
      </w:pPr>
      <w:r>
        <w:rPr>
          <w:rFonts w:hint="eastAsia" w:ascii="宋体" w:hAnsi="宋体"/>
          <w:b/>
          <w:sz w:val="28"/>
          <w:szCs w:val="28"/>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4、技术参数设置为区间要求的（例如：潮气量：</w:t>
      </w:r>
      <w:r>
        <w:rPr>
          <w:rFonts w:ascii="仿宋_GB2312" w:eastAsia="仿宋_GB2312"/>
          <w:sz w:val="24"/>
        </w:rPr>
        <w:t>0-2000ML</w:t>
      </w:r>
      <w:r>
        <w:rPr>
          <w:rFonts w:hint="eastAsia" w:ascii="仿宋_GB2312" w:eastAsia="仿宋_GB2312"/>
          <w:sz w:val="24"/>
        </w:rPr>
        <w:t>），投标产品参数区间与招标要求不完全一致的均视为负偏离。</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5、对于定制类产品，投标人需在投标文件“分项价格表”中明确注明“定制”，否则该产品技术参数按负偏离处理。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6、加注▲的条款为重要条款要求，如不满足将按照第四章“评标标准”进行扣分。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7、加注★的条款为不可负偏离条款，任一项未响应或不满足要求的，将导致投标无效。</w:t>
      </w:r>
    </w:p>
    <w:p>
      <w:pPr>
        <w:spacing w:line="360" w:lineRule="auto"/>
        <w:ind w:left="510"/>
        <w:rPr>
          <w:rFonts w:eastAsia="黑体"/>
          <w:bCs/>
          <w:snapToGrid w:val="0"/>
          <w:kern w:val="0"/>
          <w:sz w:val="24"/>
        </w:rPr>
      </w:pPr>
    </w:p>
    <w:p>
      <w:pPr>
        <w:spacing w:line="360" w:lineRule="auto"/>
        <w:ind w:left="2"/>
        <w:rPr>
          <w:rFonts w:ascii="宋体" w:hAnsi="宋体"/>
          <w:b/>
          <w:sz w:val="24"/>
        </w:rPr>
      </w:pPr>
      <w:r>
        <w:rPr>
          <w:rFonts w:hint="eastAsia" w:ascii="宋体" w:hAnsi="宋体"/>
          <w:bCs/>
          <w:snapToGrid w:val="0"/>
          <w:kern w:val="0"/>
          <w:sz w:val="24"/>
        </w:rPr>
        <w:t>一、</w:t>
      </w:r>
      <w:r>
        <w:rPr>
          <w:rFonts w:hint="eastAsia" w:ascii="宋体" w:hAnsi="宋体"/>
          <w:b/>
          <w:sz w:val="24"/>
        </w:rPr>
        <w:t>采购范围</w:t>
      </w:r>
    </w:p>
    <w:p>
      <w:pPr>
        <w:rPr>
          <w:rFonts w:ascii="宋体" w:hAnsi="宋体"/>
          <w:b/>
          <w:szCs w:val="21"/>
        </w:rPr>
      </w:pPr>
      <w:r>
        <w:rPr>
          <w:rFonts w:hint="eastAsia" w:ascii="宋体" w:hAnsi="宋体"/>
          <w:b/>
          <w:szCs w:val="21"/>
        </w:rPr>
        <w:t>（一）货物总清单</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51"/>
        <w:gridCol w:w="3119"/>
        <w:gridCol w:w="850"/>
        <w:gridCol w:w="993"/>
        <w:gridCol w:w="170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85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序号</w:t>
            </w:r>
          </w:p>
        </w:tc>
        <w:tc>
          <w:tcPr>
            <w:tcW w:w="3119"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项目名称</w:t>
            </w:r>
          </w:p>
        </w:tc>
        <w:tc>
          <w:tcPr>
            <w:tcW w:w="850" w:type="dxa"/>
            <w:tcMar>
              <w:top w:w="0" w:type="dxa"/>
              <w:left w:w="108" w:type="dxa"/>
              <w:bottom w:w="0" w:type="dxa"/>
              <w:right w:w="108" w:type="dxa"/>
            </w:tcMar>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数量</w:t>
            </w:r>
          </w:p>
        </w:tc>
        <w:tc>
          <w:tcPr>
            <w:tcW w:w="993"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单位</w:t>
            </w:r>
          </w:p>
        </w:tc>
        <w:tc>
          <w:tcPr>
            <w:tcW w:w="1701"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采购预算金额</w:t>
            </w:r>
          </w:p>
          <w:p>
            <w:pPr>
              <w:widowControl/>
              <w:spacing w:line="360" w:lineRule="auto"/>
              <w:jc w:val="center"/>
              <w:rPr>
                <w:rFonts w:ascii="宋体" w:hAnsi="宋体" w:cs="宋体"/>
                <w:bCs/>
                <w:kern w:val="0"/>
                <w:szCs w:val="21"/>
              </w:rPr>
            </w:pPr>
            <w:r>
              <w:rPr>
                <w:rFonts w:hint="eastAsia" w:ascii="宋体" w:hAnsi="宋体" w:cs="宋体"/>
                <w:b/>
                <w:szCs w:val="21"/>
              </w:rPr>
              <w:t>（人民币元）</w:t>
            </w:r>
          </w:p>
        </w:tc>
        <w:tc>
          <w:tcPr>
            <w:tcW w:w="1417" w:type="dxa"/>
            <w:vAlign w:val="center"/>
          </w:tcPr>
          <w:p>
            <w:pPr>
              <w:widowControl/>
              <w:spacing w:line="360" w:lineRule="auto"/>
              <w:jc w:val="center"/>
              <w:rPr>
                <w:rFonts w:ascii="宋体" w:hAnsi="宋体" w:cs="宋体"/>
                <w:b/>
                <w:kern w:val="0"/>
                <w:szCs w:val="21"/>
              </w:rPr>
            </w:pPr>
            <w:r>
              <w:rPr>
                <w:rFonts w:hint="eastAsia" w:ascii="宋体" w:hAnsi="宋体" w:cs="宋体"/>
                <w:b/>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5" w:hRule="atLeast"/>
          <w:jc w:val="center"/>
        </w:trPr>
        <w:tc>
          <w:tcPr>
            <w:tcW w:w="851"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1</w:t>
            </w:r>
          </w:p>
        </w:tc>
        <w:tc>
          <w:tcPr>
            <w:tcW w:w="3119"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荧光定量PCR仪</w:t>
            </w:r>
          </w:p>
        </w:tc>
        <w:tc>
          <w:tcPr>
            <w:tcW w:w="850" w:type="dxa"/>
            <w:tcMar>
              <w:top w:w="0" w:type="dxa"/>
              <w:left w:w="108" w:type="dxa"/>
              <w:bottom w:w="0" w:type="dxa"/>
              <w:right w:w="108" w:type="dxa"/>
            </w:tcMar>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val="en-US" w:eastAsia="zh-CN"/>
              </w:rPr>
              <w:t>4</w:t>
            </w:r>
          </w:p>
        </w:tc>
        <w:tc>
          <w:tcPr>
            <w:tcW w:w="993" w:type="dxa"/>
            <w:vAlign w:val="center"/>
          </w:tcPr>
          <w:p>
            <w:pPr>
              <w:widowControl/>
              <w:spacing w:line="360" w:lineRule="auto"/>
              <w:jc w:val="center"/>
              <w:rPr>
                <w:rFonts w:hint="eastAsia" w:ascii="宋体" w:hAnsi="宋体" w:eastAsia="宋体" w:cs="宋体"/>
                <w:kern w:val="0"/>
                <w:szCs w:val="21"/>
                <w:lang w:eastAsia="zh-CN"/>
              </w:rPr>
            </w:pPr>
            <w:r>
              <w:rPr>
                <w:rFonts w:hint="eastAsia" w:ascii="宋体" w:hAnsi="宋体" w:cs="宋体"/>
                <w:kern w:val="0"/>
                <w:szCs w:val="21"/>
                <w:lang w:eastAsia="zh-CN"/>
              </w:rPr>
              <w:t>套</w:t>
            </w:r>
          </w:p>
        </w:tc>
        <w:tc>
          <w:tcPr>
            <w:tcW w:w="1701" w:type="dxa"/>
            <w:vAlign w:val="center"/>
          </w:tcPr>
          <w:p>
            <w:pPr>
              <w:jc w:val="center"/>
              <w:rPr>
                <w:rFonts w:hint="default" w:ascii="宋体" w:hAnsi="宋体" w:cs="宋体"/>
                <w:bCs/>
                <w:kern w:val="0"/>
                <w:szCs w:val="21"/>
                <w:lang w:val="en-US"/>
              </w:rPr>
            </w:pPr>
            <w:r>
              <w:rPr>
                <w:rFonts w:hint="eastAsia" w:ascii="宋体" w:hAnsi="宋体" w:cs="宋体"/>
                <w:bCs/>
                <w:kern w:val="0"/>
                <w:szCs w:val="21"/>
                <w:lang w:val="en-US" w:eastAsia="zh-CN"/>
              </w:rPr>
              <w:t>800,000.00</w:t>
            </w:r>
          </w:p>
        </w:tc>
        <w:tc>
          <w:tcPr>
            <w:tcW w:w="1417" w:type="dxa"/>
            <w:vAlign w:val="center"/>
          </w:tcPr>
          <w:p>
            <w:pPr>
              <w:widowControl/>
              <w:spacing w:line="360" w:lineRule="auto"/>
              <w:jc w:val="center"/>
              <w:rPr>
                <w:rFonts w:ascii="宋体" w:hAnsi="宋体" w:cs="宋体"/>
                <w:kern w:val="0"/>
                <w:szCs w:val="21"/>
              </w:rPr>
            </w:pPr>
            <w:r>
              <w:rPr>
                <w:rFonts w:hint="eastAsia" w:ascii="宋体" w:hAnsi="宋体" w:cs="宋体"/>
                <w:kern w:val="0"/>
                <w:szCs w:val="21"/>
              </w:rPr>
              <w:t>拒绝进口</w:t>
            </w:r>
          </w:p>
        </w:tc>
      </w:tr>
    </w:tbl>
    <w:p>
      <w:pPr>
        <w:widowControl/>
        <w:snapToGrid w:val="0"/>
        <w:spacing w:line="360" w:lineRule="auto"/>
        <w:ind w:left="2"/>
        <w:jc w:val="left"/>
        <w:rPr>
          <w:rFonts w:ascii="宋体" w:hAnsi="宋体"/>
          <w:bCs/>
          <w:snapToGrid w:val="0"/>
          <w:kern w:val="0"/>
          <w:szCs w:val="21"/>
        </w:rPr>
      </w:pPr>
    </w:p>
    <w:p>
      <w:pPr>
        <w:pStyle w:val="453"/>
        <w:adjustRightInd w:val="0"/>
        <w:snapToGrid w:val="0"/>
        <w:spacing w:before="0" w:beforeAutospacing="0" w:after="0" w:afterAutospacing="0" w:line="360" w:lineRule="auto"/>
        <w:ind w:firstLine="424" w:firstLineChars="202"/>
        <w:rPr>
          <w:rFonts w:ascii="宋体" w:hAnsi="宋体" w:eastAsia="宋体"/>
          <w:b/>
          <w:snapToGrid w:val="0"/>
          <w:color w:val="auto"/>
          <w:sz w:val="21"/>
          <w:szCs w:val="21"/>
          <w:highlight w:val="yellow"/>
        </w:rPr>
      </w:pPr>
      <w:r>
        <w:rPr>
          <w:rFonts w:hint="eastAsia" w:ascii="宋体" w:hAnsi="宋体" w:eastAsia="宋体" w:cs="Times New Roman"/>
          <w:color w:val="auto"/>
          <w:kern w:val="2"/>
          <w:sz w:val="21"/>
          <w:szCs w:val="21"/>
          <w:highlight w:val="yellow"/>
        </w:rPr>
        <w:t>注：</w:t>
      </w:r>
    </w:p>
    <w:p>
      <w:pPr>
        <w:keepNext w:val="0"/>
        <w:keepLines w:val="0"/>
        <w:pageBreakBefore w:val="0"/>
        <w:widowControl w:val="0"/>
        <w:kinsoku/>
        <w:wordWrap/>
        <w:overflowPunct/>
        <w:topLinePunct w:val="0"/>
        <w:autoSpaceDE/>
        <w:autoSpaceDN/>
        <w:bidi w:val="0"/>
        <w:snapToGrid w:val="0"/>
        <w:spacing w:line="360" w:lineRule="auto"/>
        <w:ind w:left="2" w:firstLine="422" w:firstLineChars="201"/>
        <w:jc w:val="left"/>
        <w:textAlignment w:val="auto"/>
        <w:rPr>
          <w:rFonts w:ascii="宋体" w:hAnsi="宋体"/>
          <w:bCs/>
          <w:snapToGrid w:val="0"/>
          <w:kern w:val="0"/>
          <w:szCs w:val="21"/>
        </w:rPr>
      </w:pPr>
      <w:r>
        <w:rPr>
          <w:rFonts w:hint="eastAsia" w:ascii="宋体" w:hAnsi="宋体"/>
          <w:bCs/>
          <w:snapToGrid w:val="0"/>
          <w:kern w:val="0"/>
          <w:szCs w:val="21"/>
          <w:highlight w:val="yellow"/>
        </w:rPr>
        <w:t>（1）</w:t>
      </w:r>
      <w:r>
        <w:rPr>
          <w:rFonts w:hint="eastAsia" w:ascii="宋体" w:hAnsi="宋体"/>
          <w:b/>
          <w:snapToGrid w:val="0"/>
          <w:kern w:val="0"/>
          <w:szCs w:val="21"/>
          <w:highlight w:val="yellow"/>
        </w:rPr>
        <w:t>如同时有两家或两家以上（均为制造商的合法代理商）通过资格审查及符合性审查的合格投标人所投产品为相同品牌的，按一家投标人计算。</w:t>
      </w:r>
      <w:r>
        <w:rPr>
          <w:rFonts w:hint="eastAsia" w:ascii="宋体" w:hAnsi="宋体"/>
          <w:bCs/>
          <w:snapToGrid w:val="0"/>
          <w:kern w:val="0"/>
          <w:szCs w:val="21"/>
          <w:highlight w:val="yellow"/>
        </w:rPr>
        <w:t>在此种情况下，评审后得分最高的</w:t>
      </w:r>
      <w:r>
        <w:rPr>
          <w:rFonts w:hint="eastAsia" w:asciiTheme="minorEastAsia" w:hAnsiTheme="minorEastAsia" w:eastAsiaTheme="minorEastAsia"/>
          <w:color w:val="333333"/>
          <w:highlight w:val="yellow"/>
        </w:rPr>
        <w:t>同品牌</w:t>
      </w:r>
      <w:r>
        <w:rPr>
          <w:rFonts w:hint="eastAsia" w:ascii="宋体" w:hAnsi="宋体"/>
          <w:bCs/>
          <w:snapToGrid w:val="0"/>
          <w:kern w:val="0"/>
          <w:szCs w:val="21"/>
          <w:highlight w:val="yellow"/>
        </w:rPr>
        <w:t>投标人获得中标人推荐资格；评审得分相同的由报价相对最低的获得中标人推荐资格；评审得分及报价均相同的由技术部分评分相对最高的获得中标人推荐资格；</w:t>
      </w:r>
      <w:r>
        <w:rPr>
          <w:rFonts w:hint="eastAsia"/>
          <w:snapToGrid w:val="0"/>
          <w:kern w:val="0"/>
          <w:highlight w:val="yellow"/>
        </w:rPr>
        <w:t>以上均相同的由评标委员会采取随机抽取方式确定</w:t>
      </w:r>
      <w:r>
        <w:rPr>
          <w:rFonts w:hint="eastAsia" w:ascii="宋体" w:hAnsi="宋体"/>
          <w:bCs/>
          <w:snapToGrid w:val="0"/>
          <w:kern w:val="0"/>
          <w:szCs w:val="21"/>
          <w:highlight w:val="yellow"/>
        </w:rPr>
        <w:t>，其他同品牌投标人不作为中标候选人。</w:t>
      </w:r>
    </w:p>
    <w:p>
      <w:pPr>
        <w:keepNext w:val="0"/>
        <w:keepLines w:val="0"/>
        <w:pageBreakBefore w:val="0"/>
        <w:widowControl w:val="0"/>
        <w:kinsoku/>
        <w:wordWrap/>
        <w:overflowPunct/>
        <w:topLinePunct w:val="0"/>
        <w:autoSpaceDE/>
        <w:autoSpaceDN/>
        <w:bidi w:val="0"/>
        <w:adjustRightInd w:val="0"/>
        <w:snapToGrid w:val="0"/>
        <w:spacing w:line="360" w:lineRule="auto"/>
        <w:ind w:firstLine="422" w:firstLineChars="201"/>
        <w:textAlignment w:val="auto"/>
        <w:rPr>
          <w:rFonts w:ascii="宋体" w:hAnsi="宋体"/>
          <w:b/>
          <w:bCs/>
          <w:snapToGrid w:val="0"/>
          <w:kern w:val="0"/>
          <w:szCs w:val="21"/>
        </w:rPr>
      </w:pPr>
      <w:r>
        <w:rPr>
          <w:rFonts w:hint="eastAsia" w:ascii="宋体" w:hAnsi="宋体"/>
          <w:bCs/>
          <w:snapToGrid w:val="0"/>
          <w:kern w:val="0"/>
          <w:szCs w:val="21"/>
        </w:rPr>
        <w:t>（2）</w:t>
      </w:r>
      <w:r>
        <w:rPr>
          <w:rFonts w:hint="eastAsia" w:ascii="宋体" w:hAnsi="宋体"/>
          <w:szCs w:val="21"/>
        </w:rPr>
        <w:t>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若评标委员会成员对是否须由投标人作出报价合理性说明，以及书面说明是否采纳等判断不一</w:t>
      </w:r>
      <w:r>
        <w:rPr>
          <w:rFonts w:hint="eastAsia" w:ascii="宋体" w:hAnsi="宋体"/>
          <w:bCs/>
          <w:snapToGrid w:val="0"/>
          <w:kern w:val="0"/>
          <w:szCs w:val="21"/>
        </w:rPr>
        <w:t>致的，按照“少数服从多数”的原则确定评标委员会的意见。</w:t>
      </w:r>
    </w:p>
    <w:p>
      <w:pPr>
        <w:adjustRightInd w:val="0"/>
        <w:snapToGrid w:val="0"/>
        <w:spacing w:line="360" w:lineRule="auto"/>
        <w:ind w:firstLine="422" w:firstLineChars="201"/>
        <w:rPr>
          <w:rFonts w:ascii="宋体" w:hAnsi="宋体"/>
          <w:bCs/>
          <w:snapToGrid w:val="0"/>
          <w:kern w:val="0"/>
          <w:szCs w:val="21"/>
        </w:rPr>
      </w:pPr>
      <w:r>
        <w:rPr>
          <w:rFonts w:hint="eastAsia" w:ascii="宋体" w:hAnsi="宋体"/>
          <w:bCs/>
          <w:snapToGrid w:val="0"/>
          <w:kern w:val="0"/>
          <w:szCs w:val="21"/>
        </w:rPr>
        <w:t xml:space="preserve">（3）备注栏注明“拒绝进口”的产品不接受投标人选用进口产品参与投标；注明“接受进口”的产品允许投标人选用进口产品参与投标，但不排斥国内产品。 </w:t>
      </w:r>
    </w:p>
    <w:p>
      <w:pPr>
        <w:adjustRightInd w:val="0"/>
        <w:snapToGrid w:val="0"/>
        <w:spacing w:line="360" w:lineRule="auto"/>
        <w:ind w:firstLine="422" w:firstLineChars="201"/>
        <w:rPr>
          <w:rFonts w:hint="eastAsia" w:ascii="宋体" w:hAnsi="宋体"/>
          <w:bCs/>
          <w:snapToGrid w:val="0"/>
          <w:kern w:val="0"/>
          <w:szCs w:val="21"/>
        </w:rPr>
      </w:pPr>
      <w:r>
        <w:rPr>
          <w:rFonts w:hint="eastAsia" w:ascii="宋体" w:hAnsi="宋体"/>
          <w:bCs/>
          <w:snapToGrid w:val="0"/>
          <w:kern w:val="0"/>
          <w:szCs w:val="21"/>
        </w:rPr>
        <w:t>（4）进口产品是指通过中国海关报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号文”和“财办库【2008】248号文”的相关规定为准。</w:t>
      </w:r>
    </w:p>
    <w:p>
      <w:pPr>
        <w:adjustRightInd w:val="0"/>
        <w:snapToGrid w:val="0"/>
        <w:spacing w:line="360" w:lineRule="auto"/>
        <w:ind w:firstLine="422" w:firstLineChars="201"/>
        <w:rPr>
          <w:rFonts w:hint="default" w:ascii="宋体" w:hAnsi="宋体" w:eastAsia="宋体"/>
          <w:b/>
          <w:bCs w:val="0"/>
          <w:snapToGrid w:val="0"/>
          <w:kern w:val="0"/>
          <w:szCs w:val="21"/>
          <w:highlight w:val="yellow"/>
          <w:lang w:val="en-US" w:eastAsia="zh-CN"/>
        </w:rPr>
      </w:pPr>
      <w:r>
        <w:rPr>
          <w:rFonts w:hint="eastAsia" w:asciiTheme="minorEastAsia" w:hAnsiTheme="minorEastAsia" w:eastAsiaTheme="minorEastAsia"/>
          <w:kern w:val="0"/>
          <w:szCs w:val="21"/>
          <w:highlight w:val="yellow"/>
        </w:rPr>
        <w:t>★</w:t>
      </w:r>
      <w:r>
        <w:rPr>
          <w:rFonts w:hint="eastAsia" w:ascii="宋体" w:hAnsi="宋体"/>
          <w:b/>
          <w:bCs w:val="0"/>
          <w:snapToGrid w:val="0"/>
          <w:kern w:val="0"/>
          <w:szCs w:val="21"/>
          <w:highlight w:val="yellow"/>
          <w:lang w:val="en-US" w:eastAsia="zh-CN"/>
        </w:rPr>
        <w:t>（5）若投标人为所投产品的生产企业，必须提供《医疗器械生产企业许可证》，且生产范围包含该产品；若投标人为所投产品的代理商或授权供应商，必须提供《医疗器械经营企业许可证》，且经营范围包含该产品。</w:t>
      </w:r>
    </w:p>
    <w:p>
      <w:pPr>
        <w:adjustRightInd w:val="0"/>
        <w:snapToGrid w:val="0"/>
        <w:spacing w:line="360" w:lineRule="auto"/>
        <w:ind w:firstLine="424" w:firstLineChars="201"/>
        <w:rPr>
          <w:rFonts w:hint="eastAsia" w:ascii="宋体" w:hAnsi="宋体" w:eastAsia="宋体"/>
          <w:bCs/>
          <w:snapToGrid w:val="0"/>
          <w:kern w:val="0"/>
          <w:szCs w:val="21"/>
          <w:lang w:eastAsia="zh-CN"/>
        </w:rPr>
      </w:pPr>
      <w:r>
        <w:rPr>
          <w:rFonts w:hint="eastAsia" w:asciiTheme="minorEastAsia" w:hAnsiTheme="minorEastAsia" w:eastAsiaTheme="minorEastAsia"/>
          <w:b/>
          <w:bCs w:val="0"/>
          <w:kern w:val="0"/>
          <w:szCs w:val="21"/>
          <w:highlight w:val="yellow"/>
        </w:rPr>
        <w:t>★</w:t>
      </w:r>
      <w:r>
        <w:rPr>
          <w:rFonts w:hint="eastAsia" w:ascii="宋体" w:hAnsi="宋体"/>
          <w:b/>
          <w:bCs w:val="0"/>
          <w:snapToGrid w:val="0"/>
          <w:kern w:val="0"/>
          <w:szCs w:val="21"/>
          <w:highlight w:val="yellow"/>
          <w:lang w:eastAsia="zh-CN"/>
        </w:rPr>
        <w:t>（</w:t>
      </w:r>
      <w:r>
        <w:rPr>
          <w:rFonts w:hint="eastAsia" w:ascii="宋体" w:hAnsi="宋体"/>
          <w:b/>
          <w:bCs w:val="0"/>
          <w:snapToGrid w:val="0"/>
          <w:kern w:val="0"/>
          <w:szCs w:val="21"/>
          <w:highlight w:val="yellow"/>
          <w:lang w:val="en-US" w:eastAsia="zh-CN"/>
        </w:rPr>
        <w:t>6</w:t>
      </w:r>
      <w:r>
        <w:rPr>
          <w:rFonts w:hint="eastAsia" w:ascii="宋体" w:hAnsi="宋体"/>
          <w:b/>
          <w:bCs w:val="0"/>
          <w:snapToGrid w:val="0"/>
          <w:kern w:val="0"/>
          <w:szCs w:val="21"/>
          <w:highlight w:val="yellow"/>
          <w:lang w:eastAsia="zh-CN"/>
        </w:rPr>
        <w:t>）投标人必须提供所投产品的《医疗器械注册（备案）证》的扫描件，原件备查（开标时，该证应在有效期内；若不在有效期内，则需提供该证和所投产品在该证有效期内生产的药监局出具的证明文件）。</w:t>
      </w:r>
    </w:p>
    <w:p>
      <w:pPr>
        <w:spacing w:line="360" w:lineRule="auto"/>
        <w:ind w:left="2" w:firstLine="484" w:firstLineChars="201"/>
        <w:rPr>
          <w:rFonts w:ascii="宋体" w:hAnsi="宋体"/>
          <w:b/>
          <w:bCs/>
          <w:snapToGrid w:val="0"/>
          <w:kern w:val="0"/>
          <w:sz w:val="24"/>
        </w:rPr>
      </w:pPr>
    </w:p>
    <w:p>
      <w:pPr>
        <w:spacing w:line="360" w:lineRule="auto"/>
        <w:rPr>
          <w:rFonts w:ascii="宋体" w:hAnsi="宋体"/>
          <w:b/>
          <w:bCs/>
          <w:snapToGrid w:val="0"/>
          <w:kern w:val="0"/>
          <w:sz w:val="24"/>
        </w:rPr>
      </w:pPr>
      <w:r>
        <w:rPr>
          <w:rFonts w:hint="eastAsia" w:ascii="宋体" w:hAnsi="宋体"/>
          <w:b/>
          <w:bCs/>
          <w:snapToGrid w:val="0"/>
          <w:kern w:val="0"/>
          <w:sz w:val="24"/>
        </w:rPr>
        <w:t>二、技术要求</w:t>
      </w:r>
    </w:p>
    <w:tbl>
      <w:tblPr>
        <w:tblStyle w:val="50"/>
        <w:tblW w:w="9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980"/>
        <w:gridCol w:w="6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900" w:type="dxa"/>
            <w:vAlign w:val="center"/>
          </w:tcPr>
          <w:p>
            <w:pPr>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序号</w:t>
            </w:r>
          </w:p>
        </w:tc>
        <w:tc>
          <w:tcPr>
            <w:tcW w:w="1980" w:type="dxa"/>
            <w:vAlign w:val="center"/>
          </w:tcPr>
          <w:p>
            <w:pPr>
              <w:widowControl/>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货物名称</w:t>
            </w:r>
          </w:p>
        </w:tc>
        <w:tc>
          <w:tcPr>
            <w:tcW w:w="6737" w:type="dxa"/>
            <w:vAlign w:val="center"/>
          </w:tcPr>
          <w:p>
            <w:pPr>
              <w:spacing w:after="60" w:line="360" w:lineRule="auto"/>
              <w:jc w:val="center"/>
              <w:rPr>
                <w:rFonts w:asciiTheme="minorEastAsia" w:hAnsiTheme="minorEastAsia" w:eastAsiaTheme="minorEastAsia"/>
                <w:b/>
                <w:bCs/>
                <w:szCs w:val="21"/>
              </w:rPr>
            </w:pPr>
            <w:r>
              <w:rPr>
                <w:rFonts w:hint="eastAsia" w:asciiTheme="minorEastAsia" w:hAnsiTheme="minorEastAsia" w:eastAsiaTheme="minorEastAsia"/>
                <w:b/>
                <w:bCs/>
                <w:szCs w:val="21"/>
              </w:rPr>
              <w:t>招标技术参数要求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restart"/>
            <w:vAlign w:val="center"/>
          </w:tcPr>
          <w:p>
            <w:pPr>
              <w:spacing w:after="60" w:line="360" w:lineRule="auto"/>
              <w:jc w:val="center"/>
              <w:rPr>
                <w:rFonts w:hint="eastAsia" w:asciiTheme="minorEastAsia" w:hAnsiTheme="minorEastAsia" w:eastAsiaTheme="minorEastAsia"/>
                <w:szCs w:val="21"/>
                <w:lang w:val="en-US" w:eastAsia="zh-CN"/>
              </w:rPr>
            </w:pPr>
            <w:r>
              <w:rPr>
                <w:rFonts w:hint="eastAsia" w:asciiTheme="minorEastAsia" w:hAnsiTheme="minorEastAsia" w:eastAsiaTheme="minorEastAsia"/>
                <w:szCs w:val="21"/>
                <w:lang w:val="en-US" w:eastAsia="zh-CN"/>
              </w:rPr>
              <w:t>1</w:t>
            </w:r>
          </w:p>
        </w:tc>
        <w:tc>
          <w:tcPr>
            <w:tcW w:w="1980" w:type="dxa"/>
            <w:vMerge w:val="restart"/>
            <w:vAlign w:val="center"/>
          </w:tcPr>
          <w:p>
            <w:pPr>
              <w:spacing w:after="60"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lang w:eastAsia="zh-CN"/>
              </w:rPr>
              <w:t>荧光定量PCR仪</w:t>
            </w: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1</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适用范围</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适用于新冠肺炎、病毒性</w:t>
            </w:r>
            <w:r>
              <w:rPr>
                <w:rFonts w:hint="eastAsia" w:asciiTheme="minorEastAsia" w:hAnsiTheme="minorEastAsia" w:eastAsiaTheme="minorEastAsia"/>
                <w:szCs w:val="21"/>
              </w:rPr>
              <w:t>肝炎、艾滋病、禽流感、结核</w:t>
            </w:r>
            <w:r>
              <w:rPr>
                <w:rFonts w:hint="eastAsia" w:asciiTheme="minorEastAsia" w:hAnsiTheme="minorEastAsia" w:eastAsiaTheme="minorEastAsia"/>
                <w:szCs w:val="21"/>
                <w:lang w:val="en-US" w:eastAsia="zh-CN"/>
              </w:rPr>
              <w:t>病</w:t>
            </w:r>
            <w:r>
              <w:rPr>
                <w:rFonts w:hint="eastAsia" w:asciiTheme="minorEastAsia" w:hAnsiTheme="minorEastAsia" w:eastAsiaTheme="minorEastAsia"/>
                <w:szCs w:val="21"/>
              </w:rPr>
              <w:t>、性病等传染病</w:t>
            </w:r>
            <w:r>
              <w:rPr>
                <w:rFonts w:hint="eastAsia" w:asciiTheme="minorEastAsia" w:hAnsiTheme="minorEastAsia" w:eastAsiaTheme="minorEastAsia"/>
                <w:szCs w:val="21"/>
                <w:lang w:val="en-US" w:eastAsia="zh-CN"/>
              </w:rPr>
              <w:t>病原体核酸检测，</w:t>
            </w:r>
            <w:r>
              <w:rPr>
                <w:rFonts w:hint="eastAsia" w:asciiTheme="minorEastAsia" w:hAnsiTheme="minorEastAsia" w:eastAsiaTheme="minorEastAsia"/>
                <w:szCs w:val="21"/>
              </w:rPr>
              <w:t>地中海贫血</w:t>
            </w:r>
            <w:r>
              <w:rPr>
                <w:rFonts w:hint="eastAsia" w:asciiTheme="minorEastAsia" w:hAnsiTheme="minorEastAsia" w:eastAsiaTheme="minorEastAsia"/>
                <w:szCs w:val="21"/>
                <w:lang w:val="en-US" w:eastAsia="zh-CN"/>
              </w:rPr>
              <w:t>等</w:t>
            </w:r>
            <w:r>
              <w:rPr>
                <w:rFonts w:hint="eastAsia" w:asciiTheme="minorEastAsia" w:hAnsiTheme="minorEastAsia" w:eastAsiaTheme="minorEastAsia"/>
                <w:szCs w:val="21"/>
              </w:rPr>
              <w:t>遗传</w:t>
            </w:r>
            <w:r>
              <w:rPr>
                <w:rFonts w:hint="eastAsia" w:asciiTheme="minorEastAsia" w:hAnsiTheme="minorEastAsia" w:eastAsiaTheme="minorEastAsia"/>
                <w:szCs w:val="21"/>
                <w:lang w:val="en-US" w:eastAsia="zh-CN"/>
              </w:rPr>
              <w:t>病</w:t>
            </w:r>
            <w:r>
              <w:rPr>
                <w:rFonts w:hint="eastAsia" w:asciiTheme="minorEastAsia" w:hAnsiTheme="minorEastAsia" w:eastAsiaTheme="minorEastAsia"/>
                <w:szCs w:val="21"/>
              </w:rPr>
              <w:t>基因检测</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肿</w:t>
            </w:r>
            <w:r>
              <w:rPr>
                <w:rFonts w:hint="eastAsia" w:asciiTheme="minorEastAsia" w:hAnsiTheme="minorEastAsia" w:eastAsiaTheme="minorEastAsia"/>
                <w:szCs w:val="21"/>
              </w:rPr>
              <w:t>瘤基因</w:t>
            </w:r>
            <w:r>
              <w:rPr>
                <w:rFonts w:hint="eastAsia" w:asciiTheme="minorEastAsia" w:hAnsiTheme="minorEastAsia" w:eastAsiaTheme="minorEastAsia"/>
                <w:szCs w:val="21"/>
                <w:lang w:val="en-US" w:eastAsia="zh-CN"/>
              </w:rPr>
              <w:t>和耐药基因</w:t>
            </w:r>
            <w:r>
              <w:rPr>
                <w:rFonts w:hint="eastAsia" w:asciiTheme="minorEastAsia" w:hAnsiTheme="minorEastAsia" w:eastAsiaTheme="minorEastAsia"/>
                <w:szCs w:val="21"/>
              </w:rPr>
              <w:t>检测</w:t>
            </w:r>
            <w:r>
              <w:rPr>
                <w:rFonts w:hint="eastAsia" w:asciiTheme="minorEastAsia" w:hAnsiTheme="minorEastAsia" w:eastAsiaTheme="minorEastAsia"/>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宋体" w:hAnsi="宋体" w:eastAsia="宋体" w:cs="宋体"/>
                <w:bCs/>
                <w:sz w:val="21"/>
                <w:szCs w:val="21"/>
              </w:rPr>
              <w:t>▲</w:t>
            </w:r>
            <w:r>
              <w:rPr>
                <w:rFonts w:hint="eastAsia" w:asciiTheme="minorEastAsia" w:hAnsiTheme="minorEastAsia" w:eastAsiaTheme="minorEastAsia"/>
                <w:szCs w:val="21"/>
                <w:lang w:val="en-US" w:eastAsia="zh-CN"/>
              </w:rPr>
              <w:t>2、</w:t>
            </w:r>
            <w:r>
              <w:rPr>
                <w:rFonts w:hint="eastAsia" w:asciiTheme="minorEastAsia" w:hAnsiTheme="minorEastAsia" w:eastAsiaTheme="minorEastAsia"/>
                <w:szCs w:val="21"/>
              </w:rPr>
              <w:t>激发光源：</w:t>
            </w:r>
            <w:r>
              <w:rPr>
                <w:rFonts w:hint="eastAsia" w:asciiTheme="minorEastAsia" w:hAnsiTheme="minorEastAsia" w:eastAsiaTheme="minorEastAsia"/>
                <w:szCs w:val="21"/>
                <w:lang w:eastAsia="zh-Hans"/>
              </w:rPr>
              <w:t>免维护</w:t>
            </w:r>
            <w:r>
              <w:rPr>
                <w:rFonts w:hint="eastAsia" w:asciiTheme="minorEastAsia" w:hAnsiTheme="minorEastAsia" w:eastAsiaTheme="minorEastAsia"/>
                <w:szCs w:val="21"/>
              </w:rPr>
              <w:t>大功率 LED</w:t>
            </w:r>
            <w:r>
              <w:rPr>
                <w:rFonts w:hint="eastAsia" w:asciiTheme="minorEastAsia" w:hAnsiTheme="minorEastAsia" w:eastAsiaTheme="minorEastAsia"/>
                <w:szCs w:val="21"/>
                <w:lang w:val="en-US" w:eastAsia="zh-CN"/>
              </w:rPr>
              <w:t>光源，</w:t>
            </w:r>
            <w:r>
              <w:rPr>
                <w:rFonts w:hint="eastAsia" w:asciiTheme="minorEastAsia" w:hAnsiTheme="minorEastAsia" w:eastAsiaTheme="minorEastAsia"/>
                <w:szCs w:val="21"/>
              </w:rPr>
              <w:t>使用</w:t>
            </w:r>
            <w:r>
              <w:rPr>
                <w:rFonts w:hint="eastAsia" w:asciiTheme="minorEastAsia" w:hAnsiTheme="minorEastAsia" w:eastAsiaTheme="minorEastAsia"/>
                <w:szCs w:val="21"/>
                <w:lang w:val="en-US" w:eastAsia="zh-CN"/>
              </w:rPr>
              <w:t>寿命</w:t>
            </w:r>
            <w:r>
              <w:rPr>
                <w:rFonts w:hint="eastAsia"/>
                <w:lang w:val="en-US" w:eastAsia="zh-CN"/>
              </w:rPr>
              <w:t>≥</w:t>
            </w:r>
            <w:r>
              <w:rPr>
                <w:rFonts w:hint="eastAsia" w:asciiTheme="minorEastAsia" w:hAnsiTheme="minorEastAsia" w:eastAsiaTheme="minorEastAsia"/>
                <w:szCs w:val="21"/>
              </w:rPr>
              <w:t>10万小时</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使用</w:t>
            </w:r>
            <w:r>
              <w:rPr>
                <w:rFonts w:hint="eastAsia" w:asciiTheme="minorEastAsia" w:hAnsiTheme="minorEastAsia" w:eastAsiaTheme="minorEastAsia"/>
                <w:szCs w:val="21"/>
              </w:rPr>
              <w:t>比同类仪器LED光源灵敏度</w:t>
            </w:r>
            <w:r>
              <w:rPr>
                <w:rFonts w:hint="eastAsia" w:asciiTheme="minorEastAsia" w:hAnsiTheme="minorEastAsia" w:eastAsiaTheme="minorEastAsia"/>
                <w:szCs w:val="21"/>
                <w:lang w:val="en-US" w:eastAsia="zh-CN"/>
              </w:rPr>
              <w:t>更</w:t>
            </w:r>
            <w:r>
              <w:rPr>
                <w:rFonts w:hint="eastAsia" w:asciiTheme="minorEastAsia" w:hAnsiTheme="minorEastAsia" w:eastAsiaTheme="minorEastAsia"/>
                <w:szCs w:val="21"/>
              </w:rPr>
              <w:t>高</w:t>
            </w:r>
            <w:r>
              <w:rPr>
                <w:rFonts w:hint="eastAsia" w:asciiTheme="minorEastAsia" w:hAnsiTheme="minorEastAsia" w:eastAsiaTheme="minorEastAsia"/>
                <w:szCs w:val="21"/>
                <w:lang w:val="en-US" w:eastAsia="zh-CN"/>
              </w:rPr>
              <w:t>的</w:t>
            </w:r>
            <w:r>
              <w:rPr>
                <w:rFonts w:hint="eastAsia" w:asciiTheme="minorEastAsia" w:hAnsiTheme="minorEastAsia" w:eastAsiaTheme="minorEastAsia"/>
                <w:szCs w:val="21"/>
              </w:rPr>
              <w:t>冷光源</w:t>
            </w:r>
            <w:r>
              <w:rPr>
                <w:rFonts w:hint="eastAsia" w:asciiTheme="minorEastAsia" w:hAnsiTheme="minorEastAsia" w:eastAsiaTheme="minorEastAsia"/>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3、</w:t>
            </w:r>
            <w:r>
              <w:rPr>
                <w:rFonts w:hint="eastAsia" w:asciiTheme="minorEastAsia" w:hAnsiTheme="minorEastAsia" w:eastAsiaTheme="minorEastAsia"/>
                <w:szCs w:val="21"/>
              </w:rPr>
              <w:t>检测器</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高灵敏度光电传感器</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其检</w:t>
            </w:r>
            <w:r>
              <w:rPr>
                <w:rFonts w:hint="eastAsia" w:asciiTheme="minorEastAsia" w:hAnsiTheme="minorEastAsia" w:eastAsiaTheme="minorEastAsia"/>
                <w:szCs w:val="21"/>
              </w:rPr>
              <w:t>测灵敏度比CCD探测器高10倍</w:t>
            </w:r>
            <w:r>
              <w:rPr>
                <w:rFonts w:hint="eastAsia" w:asciiTheme="minorEastAsia" w:hAnsiTheme="minorEastAsia" w:eastAsiaTheme="minorEastAsia"/>
                <w:szCs w:val="21"/>
                <w:lang w:val="en-US" w:eastAsia="zh-CN"/>
              </w:rPr>
              <w:t>以上</w:t>
            </w: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且</w:t>
            </w:r>
            <w:r>
              <w:rPr>
                <w:rFonts w:hint="eastAsia" w:asciiTheme="minorEastAsia" w:hAnsiTheme="minorEastAsia" w:eastAsiaTheme="minorEastAsia"/>
                <w:szCs w:val="21"/>
              </w:rPr>
              <w:t>没有孔间的边缘干扰影响。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rPr>
              <w:t>▲</w:t>
            </w:r>
            <w:r>
              <w:rPr>
                <w:rFonts w:hint="eastAsia" w:asciiTheme="minorEastAsia" w:hAnsiTheme="minorEastAsia" w:eastAsiaTheme="minorEastAsia"/>
                <w:szCs w:val="21"/>
                <w:lang w:val="en-US" w:eastAsia="zh-CN"/>
              </w:rPr>
              <w:t>4、</w:t>
            </w:r>
            <w:r>
              <w:rPr>
                <w:rFonts w:hint="eastAsia" w:asciiTheme="minorEastAsia" w:hAnsiTheme="minorEastAsia" w:eastAsiaTheme="minorEastAsia"/>
                <w:szCs w:val="21"/>
              </w:rPr>
              <w:t>样本</w:t>
            </w:r>
            <w:r>
              <w:rPr>
                <w:rFonts w:hint="eastAsia" w:asciiTheme="minorEastAsia" w:hAnsiTheme="minorEastAsia" w:eastAsiaTheme="minorEastAsia"/>
                <w:szCs w:val="21"/>
                <w:lang w:val="en-US" w:eastAsia="zh-CN"/>
              </w:rPr>
              <w:t>通量</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96</w:t>
            </w:r>
            <w:r>
              <w:rPr>
                <w:rFonts w:hint="eastAsia" w:asciiTheme="minorEastAsia" w:hAnsiTheme="minorEastAsia" w:eastAsiaTheme="minorEastAsia"/>
                <w:szCs w:val="21"/>
                <w:lang w:val="en-US" w:eastAsia="zh-CN"/>
              </w:rPr>
              <w:t>孔</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0.2ml</w:t>
            </w:r>
            <w:r>
              <w:rPr>
                <w:rFonts w:hint="eastAsia" w:asciiTheme="minorEastAsia" w:hAnsiTheme="minorEastAsia" w:eastAsiaTheme="minorEastAsia"/>
                <w:szCs w:val="21"/>
                <w:lang w:val="en-US" w:eastAsia="zh-CN"/>
              </w:rPr>
              <w:t>两套，（</w:t>
            </w:r>
            <w:r>
              <w:rPr>
                <w:rFonts w:hint="eastAsia" w:asciiTheme="minorEastAsia" w:hAnsiTheme="minorEastAsia" w:eastAsiaTheme="minorEastAsia"/>
                <w:szCs w:val="21"/>
                <w:lang w:eastAsia="zh-CN"/>
              </w:rPr>
              <w:t>48</w:t>
            </w:r>
            <w:r>
              <w:rPr>
                <w:rFonts w:hint="eastAsia" w:asciiTheme="minorEastAsia" w:hAnsiTheme="minorEastAsia" w:eastAsiaTheme="minorEastAsia"/>
                <w:szCs w:val="21"/>
                <w:lang w:val="en-US" w:eastAsia="zh-CN"/>
              </w:rPr>
              <w:t>孔</w:t>
            </w:r>
            <w:r>
              <w:rPr>
                <w:rFonts w:hint="eastAsia" w:asciiTheme="minorEastAsia" w:hAnsiTheme="minorEastAsia" w:eastAsiaTheme="minorEastAsia"/>
                <w:szCs w:val="21"/>
                <w:lang w:eastAsia="zh-CN"/>
              </w:rPr>
              <w:t>×2）×0.2ml</w:t>
            </w:r>
            <w:r>
              <w:rPr>
                <w:rFonts w:hint="eastAsia" w:asciiTheme="minorEastAsia" w:hAnsiTheme="minorEastAsia" w:eastAsiaTheme="minorEastAsia"/>
                <w:szCs w:val="21"/>
                <w:lang w:val="en-US" w:eastAsia="zh-CN"/>
              </w:rPr>
              <w:t>两套。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5</w:t>
            </w:r>
            <w:r>
              <w:rPr>
                <w:rFonts w:hint="eastAsia" w:asciiTheme="minorEastAsia" w:hAnsiTheme="minorEastAsia" w:eastAsiaTheme="minorEastAsia"/>
                <w:szCs w:val="21"/>
              </w:rPr>
              <w:t>、荧光波长</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通道1:470nm-510nm</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通道2:530nm-565nm</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通道3:580nm-620nm</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通道4:630nm-665nm</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多通道检测</w:t>
            </w:r>
            <w:r>
              <w:rPr>
                <w:rFonts w:hint="eastAsia" w:asciiTheme="minorEastAsia" w:hAnsiTheme="minorEastAsia" w:eastAsiaTheme="minorEastAsia"/>
                <w:szCs w:val="21"/>
                <w:lang w:val="en-US" w:eastAsia="zh-CN"/>
              </w:rPr>
              <w:t>能够</w:t>
            </w:r>
            <w:r>
              <w:rPr>
                <w:rFonts w:hint="eastAsia" w:asciiTheme="minorEastAsia" w:hAnsiTheme="minorEastAsia" w:eastAsiaTheme="minorEastAsia"/>
                <w:szCs w:val="21"/>
              </w:rPr>
              <w:t>完全规避交叉干扰，无需任何校正。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hint="eastAsia" w:asciiTheme="minorEastAsia" w:hAnsiTheme="minorEastAsia" w:eastAsiaTheme="minorEastAsia"/>
                <w:szCs w:val="21"/>
              </w:rPr>
            </w:pPr>
            <w:r>
              <w:rPr>
                <w:rFonts w:hint="eastAsia" w:asciiTheme="minorEastAsia" w:hAnsiTheme="minorEastAsia" w:eastAsiaTheme="minorEastAsia"/>
                <w:szCs w:val="21"/>
                <w:lang w:val="en-US" w:eastAsia="zh-CN"/>
              </w:rPr>
              <w:t>6</w:t>
            </w:r>
            <w:r>
              <w:rPr>
                <w:rFonts w:hint="eastAsia" w:asciiTheme="minorEastAsia" w:hAnsiTheme="minorEastAsia" w:eastAsiaTheme="minorEastAsia"/>
                <w:szCs w:val="21"/>
              </w:rPr>
              <w:t>、荧光素及染料</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lang w:val="en-US" w:eastAsia="zh-CN"/>
              </w:rPr>
              <w:t>包括</w:t>
            </w:r>
            <w:r>
              <w:rPr>
                <w:rFonts w:hint="eastAsia" w:asciiTheme="minorEastAsia" w:hAnsiTheme="minorEastAsia" w:eastAsiaTheme="minorEastAsia"/>
                <w:szCs w:val="21"/>
              </w:rPr>
              <w:t>FAM</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SYBR</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VIC</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 xml:space="preserve"> HEX</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 xml:space="preserve"> Joe</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 xml:space="preserve"> TET</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T</w:t>
            </w:r>
            <w:r>
              <w:rPr>
                <w:rFonts w:hint="eastAsia" w:asciiTheme="minorEastAsia" w:hAnsiTheme="minorEastAsia" w:eastAsiaTheme="minorEastAsia"/>
                <w:szCs w:val="21"/>
                <w:lang w:eastAsia="zh-Hans"/>
              </w:rPr>
              <w:t>A</w:t>
            </w:r>
            <w:r>
              <w:rPr>
                <w:rFonts w:hint="eastAsia" w:asciiTheme="minorEastAsia" w:hAnsiTheme="minorEastAsia" w:eastAsiaTheme="minorEastAsia"/>
                <w:szCs w:val="21"/>
              </w:rPr>
              <w:t>MRA</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CY3</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ROX</w:t>
            </w:r>
            <w:r>
              <w:rPr>
                <w:rFonts w:hint="eastAsia" w:asciiTheme="minorEastAsia" w:hAnsiTheme="minorEastAsia" w:eastAsiaTheme="minorEastAsia"/>
                <w:szCs w:val="21"/>
                <w:lang w:eastAsia="zh-CN"/>
              </w:rPr>
              <w:t>、</w:t>
            </w:r>
            <w:r>
              <w:rPr>
                <w:rFonts w:hint="eastAsia" w:asciiTheme="minorEastAsia" w:hAnsiTheme="minorEastAsia" w:eastAsiaTheme="minorEastAsia"/>
                <w:szCs w:val="21"/>
              </w:rPr>
              <w:t xml:space="preserve"> Texas Red</w:t>
            </w:r>
            <w:r>
              <w:rPr>
                <w:rFonts w:hint="eastAsia" w:asciiTheme="minorEastAsia" w:hAnsiTheme="minorEastAsia" w:eastAsiaTheme="minorEastAsia"/>
                <w:szCs w:val="21"/>
                <w:lang w:val="en-US" w:eastAsia="zh-CN"/>
              </w:rPr>
              <w:t>和</w:t>
            </w:r>
            <w:r>
              <w:rPr>
                <w:rFonts w:hint="eastAsia" w:asciiTheme="minorEastAsia" w:hAnsiTheme="minorEastAsia" w:eastAsiaTheme="minorEastAsia"/>
                <w:szCs w:val="21"/>
              </w:rPr>
              <w:t xml:space="preserve"> CY5</w:t>
            </w:r>
            <w:r>
              <w:rPr>
                <w:rFonts w:hint="eastAsia" w:asciiTheme="minorEastAsia" w:hAnsiTheme="minorEastAsia" w:eastAsiaTheme="minorEastAsia"/>
                <w:szCs w:val="21"/>
                <w:lang w:val="en-US" w:eastAsia="zh-CN"/>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b w:val="0"/>
                <w:bCs w:val="0"/>
                <w:sz w:val="21"/>
                <w:szCs w:val="21"/>
                <w:lang w:val="en-US" w:eastAsia="zh-CN"/>
              </w:rPr>
              <w:t>7</w:t>
            </w:r>
            <w:r>
              <w:rPr>
                <w:rFonts w:hint="eastAsia" w:ascii="宋体" w:hAnsi="宋体" w:eastAsia="宋体" w:cs="宋体"/>
                <w:b w:val="0"/>
                <w:bCs w:val="0"/>
                <w:sz w:val="21"/>
                <w:szCs w:val="21"/>
              </w:rPr>
              <w:t>、检测方式</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rPr>
              <w:t>反应管底部侧面激发</w:t>
            </w:r>
            <w:r>
              <w:rPr>
                <w:rFonts w:hint="eastAsia" w:ascii="宋体" w:hAnsi="宋体" w:eastAsia="宋体" w:cs="宋体"/>
                <w:b w:val="0"/>
                <w:bCs w:val="0"/>
                <w:sz w:val="21"/>
                <w:szCs w:val="21"/>
                <w:lang w:val="en-US" w:eastAsia="zh-CN"/>
              </w:rPr>
              <w:t>和</w:t>
            </w:r>
            <w:r>
              <w:rPr>
                <w:rFonts w:hint="eastAsia" w:ascii="宋体" w:hAnsi="宋体" w:eastAsia="宋体" w:cs="宋体"/>
                <w:b w:val="0"/>
                <w:bCs w:val="0"/>
                <w:sz w:val="21"/>
                <w:szCs w:val="21"/>
              </w:rPr>
              <w:t>检测</w:t>
            </w:r>
            <w:r>
              <w:rPr>
                <w:rFonts w:hint="eastAsia" w:ascii="宋体" w:hAnsi="宋体" w:eastAsia="宋体" w:cs="宋体"/>
                <w:b w:val="0"/>
                <w:bCs w:val="0"/>
                <w:sz w:val="21"/>
                <w:szCs w:val="21"/>
                <w:lang w:eastAsia="zh-CN"/>
              </w:rPr>
              <w:t>，</w:t>
            </w:r>
            <w:r>
              <w:rPr>
                <w:rFonts w:hint="eastAsia" w:ascii="宋体" w:hAnsi="宋体" w:eastAsia="宋体" w:cs="宋体"/>
                <w:b w:val="0"/>
                <w:bCs w:val="0"/>
                <w:sz w:val="21"/>
                <w:szCs w:val="21"/>
                <w:lang w:val="en-US" w:eastAsia="zh-CN"/>
              </w:rPr>
              <w:t>以</w:t>
            </w:r>
            <w:r>
              <w:rPr>
                <w:rFonts w:hint="eastAsia" w:ascii="宋体" w:hAnsi="宋体" w:eastAsia="宋体" w:cs="宋体"/>
                <w:b w:val="0"/>
                <w:bCs w:val="0"/>
                <w:sz w:val="21"/>
                <w:szCs w:val="21"/>
              </w:rPr>
              <w:t>提高光源传输及检测效率</w:t>
            </w:r>
            <w:r>
              <w:rPr>
                <w:rFonts w:hint="eastAsia" w:ascii="宋体" w:hAnsi="宋体" w:eastAsia="宋体" w:cs="宋体"/>
                <w:b w:val="0"/>
                <w:bCs w:val="0"/>
                <w:sz w:val="21"/>
                <w:szCs w:val="21"/>
                <w:lang w:val="en-US" w:eastAsia="zh-CN"/>
              </w:rPr>
              <w:t>和</w:t>
            </w:r>
            <w:r>
              <w:rPr>
                <w:rFonts w:hint="eastAsia" w:ascii="宋体" w:hAnsi="宋体" w:eastAsia="宋体" w:cs="宋体"/>
                <w:b w:val="0"/>
                <w:bCs w:val="0"/>
                <w:sz w:val="21"/>
                <w:szCs w:val="21"/>
              </w:rPr>
              <w:t>灵敏度。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Theme="minorEastAsia" w:hAnsiTheme="minorEastAsia" w:eastAsiaTheme="minorEastAsia"/>
                <w:b w:val="0"/>
                <w:bCs w:val="0"/>
                <w:szCs w:val="21"/>
                <w:lang w:val="en-US" w:eastAsia="zh-CN"/>
              </w:rPr>
              <w:t>8</w:t>
            </w:r>
            <w:r>
              <w:rPr>
                <w:rFonts w:hint="eastAsia" w:asciiTheme="minorEastAsia" w:hAnsiTheme="minorEastAsia" w:eastAsiaTheme="minorEastAsia"/>
                <w:b w:val="0"/>
                <w:bCs w:val="0"/>
                <w:szCs w:val="21"/>
              </w:rPr>
              <w:t>、软件</w:t>
            </w:r>
            <w:r>
              <w:rPr>
                <w:rFonts w:hint="eastAsia" w:asciiTheme="minorEastAsia" w:hAnsiTheme="minorEastAsia" w:eastAsiaTheme="minorEastAsia"/>
                <w:b w:val="0"/>
                <w:bCs w:val="0"/>
                <w:szCs w:val="21"/>
                <w:lang w:val="en-US" w:eastAsia="zh-CN"/>
              </w:rPr>
              <w:t>功能：具有</w:t>
            </w:r>
            <w:r>
              <w:rPr>
                <w:rFonts w:hint="eastAsia" w:asciiTheme="minorEastAsia" w:hAnsiTheme="minorEastAsia" w:eastAsiaTheme="minorEastAsia"/>
                <w:b w:val="0"/>
                <w:bCs w:val="0"/>
                <w:szCs w:val="21"/>
                <w:lang w:eastAsia="zh-Hans"/>
              </w:rPr>
              <w:t>绝对</w:t>
            </w:r>
            <w:r>
              <w:rPr>
                <w:rFonts w:hint="eastAsia" w:asciiTheme="minorEastAsia" w:hAnsiTheme="minorEastAsia" w:eastAsiaTheme="minorEastAsia"/>
                <w:b w:val="0"/>
                <w:bCs w:val="0"/>
                <w:szCs w:val="21"/>
              </w:rPr>
              <w:t>定量/定性、</w:t>
            </w:r>
            <w:r>
              <w:rPr>
                <w:rFonts w:hint="eastAsia" w:asciiTheme="minorEastAsia" w:hAnsiTheme="minorEastAsia" w:eastAsiaTheme="minorEastAsia"/>
                <w:b w:val="0"/>
                <w:bCs w:val="0"/>
                <w:szCs w:val="21"/>
                <w:lang w:eastAsia="zh-Hans"/>
              </w:rPr>
              <w:t>标准</w:t>
            </w:r>
            <w:r>
              <w:rPr>
                <w:rFonts w:hint="eastAsia" w:asciiTheme="minorEastAsia" w:hAnsiTheme="minorEastAsia" w:eastAsiaTheme="minorEastAsia"/>
                <w:b w:val="0"/>
                <w:bCs w:val="0"/>
                <w:szCs w:val="21"/>
              </w:rPr>
              <w:t>熔解曲线、</w:t>
            </w:r>
            <w:r>
              <w:rPr>
                <w:rFonts w:hint="eastAsia" w:asciiTheme="minorEastAsia" w:hAnsiTheme="minorEastAsia" w:eastAsiaTheme="minorEastAsia"/>
                <w:b w:val="0"/>
                <w:bCs w:val="0"/>
                <w:szCs w:val="21"/>
                <w:lang w:eastAsia="zh-Hans"/>
              </w:rPr>
              <w:t>终点法等位基因分型、溶解曲线法基因分型、</w:t>
            </w:r>
            <w:r>
              <w:rPr>
                <w:rFonts w:hint="eastAsia" w:asciiTheme="minorEastAsia" w:hAnsiTheme="minorEastAsia" w:eastAsiaTheme="minorEastAsia"/>
                <w:b w:val="0"/>
                <w:bCs w:val="0"/>
                <w:szCs w:val="21"/>
              </w:rPr>
              <w:t>相对定量、</w:t>
            </w:r>
            <w:r>
              <w:rPr>
                <w:rFonts w:hint="eastAsia" w:asciiTheme="minorEastAsia" w:hAnsiTheme="minorEastAsia" w:eastAsiaTheme="minorEastAsia"/>
                <w:b w:val="0"/>
                <w:bCs w:val="0"/>
                <w:szCs w:val="21"/>
                <w:lang w:eastAsia="zh-Hans"/>
              </w:rPr>
              <w:t>高分辨率溶解曲线（</w:t>
            </w:r>
            <w:r>
              <w:rPr>
                <w:rFonts w:hint="eastAsia" w:asciiTheme="minorEastAsia" w:hAnsiTheme="minorEastAsia" w:eastAsiaTheme="minorEastAsia"/>
                <w:b w:val="0"/>
                <w:bCs w:val="0"/>
                <w:szCs w:val="21"/>
              </w:rPr>
              <w:t>HRM）</w:t>
            </w:r>
            <w:r>
              <w:rPr>
                <w:rFonts w:hint="eastAsia" w:asciiTheme="minorEastAsia" w:hAnsiTheme="minorEastAsia" w:eastAsiaTheme="minorEastAsia"/>
                <w:b w:val="0"/>
                <w:bCs w:val="0"/>
                <w:szCs w:val="21"/>
                <w:lang w:val="en-US" w:eastAsia="zh-CN"/>
              </w:rPr>
              <w:t>和</w:t>
            </w:r>
            <w:r>
              <w:rPr>
                <w:rFonts w:hint="eastAsia" w:asciiTheme="minorEastAsia" w:hAnsiTheme="minorEastAsia" w:eastAsiaTheme="minorEastAsia"/>
                <w:b w:val="0"/>
                <w:bCs w:val="0"/>
                <w:szCs w:val="21"/>
              </w:rPr>
              <w:t>等温扩增</w:t>
            </w:r>
            <w:r>
              <w:rPr>
                <w:rFonts w:hint="eastAsia" w:asciiTheme="minorEastAsia" w:hAnsiTheme="minorEastAsia" w:eastAsiaTheme="minorEastAsia"/>
                <w:b w:val="0"/>
                <w:bCs w:val="0"/>
                <w:szCs w:val="21"/>
                <w:lang w:val="en-US" w:eastAsia="zh-CN"/>
              </w:rPr>
              <w:t>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Theme="minorEastAsia" w:hAnsiTheme="minorEastAsia" w:eastAsiaTheme="minorEastAsia"/>
                <w:b w:val="0"/>
                <w:bCs w:val="0"/>
                <w:szCs w:val="21"/>
                <w:lang w:val="en-US" w:eastAsia="zh-CN"/>
              </w:rPr>
              <w:t>9</w:t>
            </w:r>
            <w:r>
              <w:rPr>
                <w:rFonts w:hint="eastAsia" w:asciiTheme="minorEastAsia" w:hAnsiTheme="minorEastAsia" w:eastAsiaTheme="minorEastAsia"/>
                <w:b w:val="0"/>
                <w:bCs w:val="0"/>
                <w:szCs w:val="21"/>
              </w:rPr>
              <w:t>、模块温度</w:t>
            </w:r>
            <w:r>
              <w:rPr>
                <w:rFonts w:hint="eastAsia" w:asciiTheme="minorEastAsia" w:hAnsiTheme="minorEastAsia" w:eastAsiaTheme="minorEastAsia"/>
                <w:b w:val="0"/>
                <w:bCs w:val="0"/>
                <w:szCs w:val="21"/>
                <w:lang w:eastAsia="zh-CN"/>
              </w:rPr>
              <w:t>：</w:t>
            </w:r>
            <w:r>
              <w:rPr>
                <w:rFonts w:hint="eastAsia" w:asciiTheme="minorEastAsia" w:hAnsiTheme="minorEastAsia" w:eastAsiaTheme="minorEastAsia"/>
                <w:b w:val="0"/>
                <w:bCs w:val="0"/>
                <w:szCs w:val="21"/>
              </w:rPr>
              <w:t>控温范围广</w:t>
            </w:r>
            <w:r>
              <w:rPr>
                <w:rFonts w:hint="eastAsia" w:asciiTheme="minorEastAsia" w:hAnsiTheme="minorEastAsia" w:eastAsiaTheme="minorEastAsia"/>
                <w:b w:val="0"/>
                <w:bCs w:val="0"/>
                <w:szCs w:val="21"/>
                <w:lang w:eastAsia="zh-CN"/>
              </w:rPr>
              <w:t>，</w:t>
            </w:r>
            <w:r>
              <w:rPr>
                <w:rFonts w:hint="eastAsia" w:asciiTheme="minorEastAsia" w:hAnsiTheme="minorEastAsia" w:eastAsiaTheme="minorEastAsia"/>
                <w:b w:val="0"/>
                <w:bCs w:val="0"/>
                <w:szCs w:val="21"/>
                <w:lang w:val="en-US" w:eastAsia="zh-CN"/>
              </w:rPr>
              <w:t>可达</w:t>
            </w:r>
            <w:r>
              <w:rPr>
                <w:rFonts w:hint="eastAsia" w:asciiTheme="minorEastAsia" w:hAnsiTheme="minorEastAsia" w:eastAsiaTheme="minorEastAsia"/>
                <w:b w:val="0"/>
                <w:bCs w:val="0"/>
                <w:szCs w:val="21"/>
              </w:rPr>
              <w:t>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 w:val="21"/>
                <w:szCs w:val="21"/>
                <w:lang w:val="en-US" w:eastAsia="zh-CN"/>
              </w:rPr>
              <w:t>10</w:t>
            </w:r>
            <w:r>
              <w:rPr>
                <w:rFonts w:hint="eastAsia" w:ascii="宋体" w:hAnsi="宋体" w:eastAsia="宋体" w:cs="宋体"/>
                <w:sz w:val="21"/>
                <w:szCs w:val="21"/>
              </w:rPr>
              <w:t>、检测动力学范围</w:t>
            </w:r>
            <w:r>
              <w:rPr>
                <w:rFonts w:hint="eastAsia" w:ascii="宋体" w:hAnsi="宋体" w:eastAsia="宋体" w:cs="宋体"/>
                <w:sz w:val="21"/>
                <w:szCs w:val="21"/>
                <w:lang w:eastAsia="zh-CN"/>
              </w:rPr>
              <w:t>：</w:t>
            </w:r>
            <w:r>
              <w:rPr>
                <w:rFonts w:hint="eastAsia" w:ascii="宋体" w:hAnsi="宋体" w:eastAsia="宋体" w:cs="宋体"/>
                <w:sz w:val="21"/>
                <w:szCs w:val="21"/>
              </w:rPr>
              <w:t>动力学范围</w:t>
            </w:r>
            <w:r>
              <w:rPr>
                <w:rFonts w:hint="eastAsia" w:ascii="宋体" w:hAnsi="宋体" w:eastAsia="宋体" w:cs="宋体"/>
                <w:sz w:val="21"/>
                <w:szCs w:val="21"/>
                <w:lang w:val="en-US" w:eastAsia="zh-CN"/>
              </w:rPr>
              <w:t>可达</w:t>
            </w:r>
            <w:r>
              <w:rPr>
                <w:rFonts w:hint="eastAsia" w:ascii="宋体" w:hAnsi="宋体" w:eastAsia="宋体" w:cs="宋体"/>
                <w:sz w:val="21"/>
                <w:szCs w:val="21"/>
              </w:rPr>
              <w:t>10</w:t>
            </w:r>
            <w:r>
              <w:rPr>
                <w:rFonts w:hint="eastAsia" w:ascii="宋体" w:hAnsi="宋体" w:eastAsia="宋体" w:cs="宋体"/>
                <w:sz w:val="21"/>
                <w:szCs w:val="21"/>
                <w:vertAlign w:val="superscript"/>
              </w:rPr>
              <w:t>0</w:t>
            </w:r>
            <w:r>
              <w:rPr>
                <w:rFonts w:hint="eastAsia" w:ascii="宋体" w:hAnsi="宋体" w:eastAsia="宋体" w:cs="宋体"/>
                <w:sz w:val="21"/>
                <w:szCs w:val="21"/>
              </w:rPr>
              <w:softHyphen/>
            </w:r>
            <w:r>
              <w:rPr>
                <w:rFonts w:hint="eastAsia" w:ascii="宋体" w:hAnsi="宋体" w:eastAsia="宋体" w:cs="宋体"/>
                <w:sz w:val="21"/>
                <w:szCs w:val="21"/>
              </w:rPr>
              <w:t>-10</w:t>
            </w:r>
            <w:r>
              <w:rPr>
                <w:rFonts w:hint="eastAsia" w:ascii="宋体" w:hAnsi="宋体" w:eastAsia="宋体" w:cs="宋体"/>
                <w:sz w:val="21"/>
                <w:szCs w:val="21"/>
                <w:vertAlign w:val="superscript"/>
              </w:rPr>
              <w:t>10</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 w:val="21"/>
                <w:szCs w:val="21"/>
                <w:lang w:eastAsia="zh-Hans"/>
              </w:rPr>
              <w:t>1</w:t>
            </w:r>
            <w:r>
              <w:rPr>
                <w:rFonts w:hint="eastAsia" w:ascii="宋体" w:hAnsi="宋体" w:eastAsia="宋体" w:cs="宋体"/>
                <w:sz w:val="21"/>
                <w:szCs w:val="21"/>
                <w:lang w:val="en-US" w:eastAsia="zh-CN"/>
              </w:rPr>
              <w:t>1</w:t>
            </w:r>
            <w:r>
              <w:rPr>
                <w:rFonts w:hint="eastAsia" w:ascii="宋体" w:hAnsi="宋体" w:eastAsia="宋体" w:cs="宋体"/>
                <w:sz w:val="21"/>
                <w:szCs w:val="21"/>
              </w:rPr>
              <w:t>、</w:t>
            </w:r>
            <w:r>
              <w:rPr>
                <w:rFonts w:hint="eastAsia" w:ascii="宋体" w:hAnsi="宋体" w:eastAsia="宋体" w:cs="宋体"/>
                <w:sz w:val="21"/>
                <w:szCs w:val="21"/>
                <w:lang w:eastAsia="zh-Hans"/>
              </w:rPr>
              <w:t>检测灵敏度</w:t>
            </w:r>
            <w:r>
              <w:rPr>
                <w:rFonts w:hint="eastAsia" w:ascii="宋体" w:hAnsi="宋体" w:eastAsia="宋体" w:cs="宋体"/>
                <w:sz w:val="21"/>
                <w:szCs w:val="21"/>
                <w:lang w:eastAsia="zh-CN"/>
              </w:rPr>
              <w:t>：</w:t>
            </w:r>
            <w:r>
              <w:rPr>
                <w:rFonts w:hint="eastAsia" w:ascii="宋体" w:hAnsi="宋体" w:eastAsia="宋体" w:cs="宋体"/>
                <w:sz w:val="21"/>
                <w:szCs w:val="21"/>
                <w:lang w:eastAsia="zh-Hans"/>
              </w:rPr>
              <w:t>可检测</w:t>
            </w:r>
            <w:r>
              <w:rPr>
                <w:rFonts w:hint="eastAsia" w:ascii="宋体" w:hAnsi="宋体" w:eastAsia="宋体" w:cs="宋体"/>
                <w:sz w:val="21"/>
                <w:szCs w:val="21"/>
              </w:rPr>
              <w:t>单个拷贝</w:t>
            </w:r>
            <w:r>
              <w:rPr>
                <w:rFonts w:hint="eastAsia" w:ascii="宋体" w:hAnsi="宋体" w:eastAsia="宋体" w:cs="宋体"/>
                <w:sz w:val="21"/>
                <w:szCs w:val="21"/>
                <w:lang w:eastAsia="zh-Hans"/>
              </w:rPr>
              <w:t>基因</w:t>
            </w: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r>
              <w:rPr>
                <w:rFonts w:hint="eastAsia" w:ascii="宋体" w:hAnsi="宋体" w:eastAsia="宋体" w:cs="宋体"/>
                <w:sz w:val="21"/>
                <w:szCs w:val="21"/>
              </w:rPr>
              <w:t>、</w:t>
            </w:r>
            <w:r>
              <w:rPr>
                <w:rFonts w:hint="eastAsia" w:ascii="宋体" w:hAnsi="宋体" w:eastAsia="宋体" w:cs="宋体"/>
                <w:color w:val="000000"/>
                <w:sz w:val="21"/>
                <w:szCs w:val="21"/>
              </w:rPr>
              <w:t>反应容积</w:t>
            </w:r>
            <w:r>
              <w:rPr>
                <w:rFonts w:hint="eastAsia" w:ascii="宋体" w:hAnsi="宋体" w:eastAsia="宋体" w:cs="宋体"/>
                <w:color w:val="000000"/>
                <w:sz w:val="21"/>
                <w:szCs w:val="21"/>
                <w:lang w:eastAsia="zh-CN"/>
              </w:rPr>
              <w:t>：</w:t>
            </w:r>
            <w:r>
              <w:rPr>
                <w:rFonts w:hint="eastAsia" w:ascii="宋体" w:hAnsi="宋体" w:eastAsia="宋体" w:cs="宋体"/>
                <w:sz w:val="21"/>
                <w:szCs w:val="21"/>
              </w:rPr>
              <w:t>15ul-100ul</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3</w:t>
            </w:r>
            <w:r>
              <w:rPr>
                <w:rFonts w:hint="eastAsia" w:ascii="宋体" w:hAnsi="宋体" w:eastAsia="宋体" w:cs="宋体"/>
                <w:color w:val="000000"/>
                <w:sz w:val="21"/>
                <w:szCs w:val="21"/>
              </w:rPr>
              <w:t>、控温模式</w:t>
            </w:r>
            <w:r>
              <w:rPr>
                <w:rFonts w:hint="eastAsia" w:ascii="宋体" w:hAnsi="宋体" w:eastAsia="宋体" w:cs="宋体"/>
                <w:color w:val="000000"/>
                <w:sz w:val="21"/>
                <w:szCs w:val="21"/>
                <w:lang w:eastAsia="zh-CN"/>
              </w:rPr>
              <w:t>：</w:t>
            </w:r>
            <w:r>
              <w:rPr>
                <w:rFonts w:hint="eastAsia" w:ascii="宋体" w:hAnsi="宋体" w:eastAsia="宋体" w:cs="宋体"/>
                <w:sz w:val="21"/>
                <w:szCs w:val="21"/>
                <w:lang w:eastAsia="zh-Hans"/>
              </w:rPr>
              <w:t>模块温控、试管温控</w:t>
            </w:r>
            <w:r>
              <w:rPr>
                <w:rFonts w:hint="eastAsia" w:ascii="宋体" w:hAnsi="宋体" w:eastAsia="宋体" w:cs="宋体"/>
                <w:sz w:val="21"/>
                <w:szCs w:val="21"/>
                <w:lang w:val="en-US" w:eastAsia="zh-CN"/>
              </w:rPr>
              <w:t>等</w:t>
            </w:r>
            <w:r>
              <w:rPr>
                <w:rFonts w:hint="eastAsia" w:ascii="宋体" w:hAnsi="宋体" w:eastAsia="宋体" w:cs="宋体"/>
                <w:sz w:val="21"/>
                <w:szCs w:val="21"/>
              </w:rPr>
              <w:t>多种</w:t>
            </w:r>
            <w:r>
              <w:rPr>
                <w:rFonts w:hint="eastAsia" w:ascii="宋体" w:hAnsi="宋体" w:eastAsia="宋体" w:cs="宋体"/>
                <w:sz w:val="21"/>
                <w:szCs w:val="21"/>
                <w:lang w:val="en-US" w:eastAsia="zh-CN"/>
              </w:rPr>
              <w:t>稳定</w:t>
            </w:r>
            <w:r>
              <w:rPr>
                <w:rFonts w:hint="eastAsia" w:ascii="宋体" w:hAnsi="宋体" w:eastAsia="宋体" w:cs="宋体"/>
                <w:sz w:val="21"/>
                <w:szCs w:val="21"/>
              </w:rPr>
              <w:t>控温模式</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4</w:t>
            </w:r>
            <w:r>
              <w:rPr>
                <w:rFonts w:hint="eastAsia" w:ascii="宋体" w:hAnsi="宋体" w:eastAsia="宋体" w:cs="宋体"/>
                <w:sz w:val="21"/>
                <w:szCs w:val="21"/>
              </w:rPr>
              <w:t>、</w:t>
            </w:r>
            <w:r>
              <w:rPr>
                <w:rFonts w:hint="eastAsia" w:ascii="宋体" w:hAnsi="宋体" w:eastAsia="宋体" w:cs="宋体"/>
                <w:color w:val="000000"/>
                <w:sz w:val="21"/>
                <w:szCs w:val="21"/>
              </w:rPr>
              <w:t>升温速率</w:t>
            </w:r>
            <w:r>
              <w:rPr>
                <w:rFonts w:hint="eastAsia" w:ascii="宋体" w:hAnsi="宋体" w:eastAsia="宋体" w:cs="宋体"/>
                <w:color w:val="000000"/>
                <w:sz w:val="21"/>
                <w:szCs w:val="21"/>
                <w:lang w:eastAsia="zh-CN"/>
              </w:rPr>
              <w:t>：≥</w:t>
            </w:r>
            <w:r>
              <w:rPr>
                <w:rFonts w:hint="eastAsia" w:ascii="宋体" w:hAnsi="宋体" w:eastAsia="宋体" w:cs="宋体"/>
                <w:sz w:val="21"/>
                <w:szCs w:val="21"/>
              </w:rPr>
              <w:t>4.0℃/</w:t>
            </w:r>
            <w:r>
              <w:rPr>
                <w:rFonts w:hint="eastAsia" w:ascii="宋体" w:hAnsi="宋体" w:eastAsia="宋体" w:cs="宋体"/>
                <w:sz w:val="21"/>
                <w:szCs w:val="21"/>
                <w:lang w:val="en-US" w:eastAsia="zh-CN"/>
              </w:rPr>
              <w:t>s</w:t>
            </w:r>
            <w:r>
              <w:rPr>
                <w:rFonts w:hint="eastAsia" w:ascii="宋体" w:hAnsi="宋体" w:eastAsia="宋体" w:cs="宋体"/>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bCs/>
                <w:sz w:val="21"/>
                <w:szCs w:val="21"/>
              </w:rPr>
              <w:t>▲</w:t>
            </w: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5</w:t>
            </w:r>
            <w:r>
              <w:rPr>
                <w:rFonts w:hint="eastAsia" w:ascii="宋体" w:hAnsi="宋体" w:eastAsia="宋体" w:cs="宋体"/>
                <w:color w:val="000000"/>
                <w:sz w:val="21"/>
                <w:szCs w:val="21"/>
              </w:rPr>
              <w:t>、温控精度</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r>
              <w:rPr>
                <w:rFonts w:hint="eastAsia" w:ascii="宋体" w:hAnsi="宋体"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6</w:t>
            </w:r>
            <w:r>
              <w:rPr>
                <w:rFonts w:hint="eastAsia" w:ascii="宋体" w:hAnsi="宋体" w:eastAsia="宋体" w:cs="宋体"/>
                <w:color w:val="000000"/>
                <w:sz w:val="21"/>
                <w:szCs w:val="21"/>
              </w:rPr>
              <w:t>、样品间温度均匀性</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rPr>
              <w:t>≤</w:t>
            </w:r>
            <w:r>
              <w:rPr>
                <w:rFonts w:hint="eastAsia" w:ascii="宋体" w:hAnsi="宋体" w:eastAsia="宋体" w:cs="宋体"/>
                <w:sz w:val="21"/>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color w:val="000000"/>
                <w:sz w:val="21"/>
                <w:szCs w:val="21"/>
              </w:rPr>
              <w:t>1</w:t>
            </w:r>
            <w:r>
              <w:rPr>
                <w:rFonts w:hint="eastAsia" w:ascii="宋体" w:hAnsi="宋体" w:eastAsia="宋体" w:cs="宋体"/>
                <w:color w:val="000000"/>
                <w:sz w:val="21"/>
                <w:szCs w:val="21"/>
                <w:lang w:val="en-US" w:eastAsia="zh-CN"/>
              </w:rPr>
              <w:t>7</w:t>
            </w:r>
            <w:r>
              <w:rPr>
                <w:rFonts w:hint="eastAsia" w:ascii="宋体" w:hAnsi="宋体" w:eastAsia="宋体" w:cs="宋体"/>
                <w:color w:val="000000"/>
                <w:sz w:val="21"/>
                <w:szCs w:val="21"/>
              </w:rPr>
              <w:t>、断电保护</w:t>
            </w:r>
            <w:r>
              <w:rPr>
                <w:rFonts w:hint="eastAsia" w:ascii="宋体" w:hAnsi="宋体" w:eastAsia="宋体" w:cs="宋体"/>
                <w:color w:val="000000"/>
                <w:sz w:val="21"/>
                <w:szCs w:val="21"/>
                <w:lang w:eastAsia="zh-CN"/>
              </w:rPr>
              <w:t>：</w:t>
            </w:r>
            <w:r>
              <w:rPr>
                <w:rFonts w:hint="eastAsia" w:ascii="宋体" w:hAnsi="宋体" w:eastAsia="宋体" w:cs="宋体"/>
                <w:sz w:val="21"/>
                <w:szCs w:val="21"/>
              </w:rPr>
              <w:t>有断电保护功能</w:t>
            </w:r>
            <w:r>
              <w:rPr>
                <w:rFonts w:hint="eastAsia" w:ascii="宋体" w:hAnsi="宋体" w:eastAsia="宋体" w:cs="宋体"/>
                <w:sz w:val="21"/>
                <w:szCs w:val="21"/>
                <w:lang w:eastAsia="zh-CN"/>
              </w:rPr>
              <w:t>，</w:t>
            </w:r>
            <w:r>
              <w:rPr>
                <w:rFonts w:hint="eastAsia" w:ascii="宋体" w:hAnsi="宋体" w:eastAsia="宋体" w:cs="宋体"/>
                <w:sz w:val="21"/>
                <w:szCs w:val="21"/>
              </w:rPr>
              <w:t>在实验过程中遇到断电时,具有程序记忆功能,</w:t>
            </w:r>
            <w:r>
              <w:rPr>
                <w:rFonts w:hint="eastAsia" w:ascii="宋体" w:hAnsi="宋体" w:eastAsia="宋体" w:cs="宋体"/>
                <w:sz w:val="21"/>
                <w:szCs w:val="21"/>
                <w:lang w:val="en-US" w:eastAsia="zh-CN"/>
              </w:rPr>
              <w:t>恢复通</w:t>
            </w:r>
            <w:r>
              <w:rPr>
                <w:rFonts w:hint="eastAsia" w:ascii="宋体" w:hAnsi="宋体" w:eastAsia="宋体" w:cs="宋体"/>
                <w:sz w:val="21"/>
                <w:szCs w:val="21"/>
              </w:rPr>
              <w:t>电时可继续运行</w:t>
            </w:r>
            <w:r>
              <w:rPr>
                <w:rFonts w:hint="eastAsia" w:ascii="宋体" w:hAnsi="宋体" w:eastAsia="宋体" w:cs="宋体"/>
                <w:sz w:val="21"/>
                <w:szCs w:val="21"/>
                <w:lang w:val="en-US" w:eastAsia="zh-CN"/>
              </w:rPr>
              <w:t>原有程序。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asciiTheme="minorEastAsia" w:hAnsiTheme="minorEastAsia" w:eastAsiaTheme="minorEastAsia"/>
                <w:b w:val="0"/>
                <w:bCs w:val="0"/>
                <w:szCs w:val="21"/>
              </w:rPr>
            </w:pPr>
            <w:r>
              <w:rPr>
                <w:rFonts w:hint="eastAsia" w:ascii="宋体" w:hAnsi="宋体" w:eastAsia="宋体" w:cs="宋体"/>
                <w:sz w:val="21"/>
                <w:szCs w:val="21"/>
                <w:lang w:val="en-US" w:eastAsia="zh-CN"/>
              </w:rPr>
              <w:t>18、</w:t>
            </w:r>
            <w:r>
              <w:rPr>
                <w:rFonts w:hint="eastAsia" w:ascii="宋体" w:hAnsi="宋体" w:eastAsia="宋体" w:cs="宋体"/>
                <w:sz w:val="21"/>
                <w:szCs w:val="21"/>
              </w:rPr>
              <w:t>热盖</w:t>
            </w:r>
            <w:r>
              <w:rPr>
                <w:rFonts w:hint="eastAsia" w:ascii="宋体" w:hAnsi="宋体" w:eastAsia="宋体" w:cs="宋体"/>
                <w:sz w:val="21"/>
                <w:szCs w:val="21"/>
                <w:lang w:eastAsia="zh-CN"/>
              </w:rPr>
              <w:t>：</w:t>
            </w:r>
            <w:r>
              <w:rPr>
                <w:rFonts w:hint="eastAsia" w:ascii="宋体" w:hAnsi="宋体" w:eastAsia="宋体" w:cs="宋体"/>
                <w:sz w:val="21"/>
                <w:szCs w:val="21"/>
              </w:rPr>
              <w:t>电子自动控制热盖</w:t>
            </w:r>
            <w:r>
              <w:rPr>
                <w:rFonts w:hint="eastAsia" w:ascii="宋体" w:hAnsi="宋体" w:eastAsia="宋体" w:cs="宋体"/>
                <w:sz w:val="21"/>
                <w:szCs w:val="21"/>
                <w:lang w:eastAsia="zh-CN"/>
              </w:rPr>
              <w:t>，</w:t>
            </w:r>
            <w:r>
              <w:rPr>
                <w:rFonts w:hint="eastAsia" w:ascii="宋体" w:hAnsi="宋体" w:eastAsia="宋体" w:cs="宋体"/>
                <w:sz w:val="21"/>
                <w:szCs w:val="21"/>
                <w:lang w:eastAsia="zh-Hans"/>
              </w:rPr>
              <w:t>可调</w:t>
            </w:r>
            <w:r>
              <w:rPr>
                <w:rFonts w:hint="eastAsia" w:ascii="宋体" w:hAnsi="宋体" w:eastAsia="宋体" w:cs="宋体"/>
                <w:sz w:val="21"/>
                <w:szCs w:val="21"/>
                <w:lang w:val="en-US" w:eastAsia="zh-CN"/>
              </w:rPr>
              <w:t>节</w:t>
            </w:r>
            <w:r>
              <w:rPr>
                <w:rFonts w:hint="eastAsia" w:ascii="宋体" w:hAnsi="宋体" w:eastAsia="宋体" w:cs="宋体"/>
                <w:sz w:val="21"/>
                <w:szCs w:val="21"/>
                <w:lang w:eastAsia="zh-Hans"/>
              </w:rPr>
              <w:t>热盖温度</w:t>
            </w:r>
            <w:r>
              <w:rPr>
                <w:rFonts w:hint="eastAsia" w:ascii="宋体" w:hAnsi="宋体" w:eastAsia="宋体" w:cs="宋体"/>
                <w:sz w:val="21"/>
                <w:szCs w:val="21"/>
                <w:lang w:eastAsia="zh-CN"/>
              </w:rPr>
              <w:t>，</w:t>
            </w:r>
            <w:r>
              <w:rPr>
                <w:rFonts w:hint="eastAsia" w:ascii="宋体" w:hAnsi="宋体" w:eastAsia="宋体" w:cs="宋体"/>
                <w:sz w:val="21"/>
                <w:szCs w:val="21"/>
                <w:lang w:val="en-US" w:eastAsia="zh-CN"/>
              </w:rPr>
              <w:t>温度范围达</w:t>
            </w:r>
            <w:r>
              <w:rPr>
                <w:rFonts w:hint="eastAsia" w:ascii="宋体" w:hAnsi="宋体" w:eastAsia="宋体" w:cs="宋体"/>
                <w:sz w:val="21"/>
                <w:szCs w:val="21"/>
              </w:rPr>
              <w:t>30℃-108℃；运行</w:t>
            </w:r>
            <w:r>
              <w:rPr>
                <w:rFonts w:hint="eastAsia" w:ascii="宋体" w:hAnsi="宋体" w:eastAsia="宋体" w:cs="宋体"/>
                <w:sz w:val="21"/>
                <w:szCs w:val="21"/>
                <w:lang w:val="en-US" w:eastAsia="zh-CN"/>
              </w:rPr>
              <w:t>程序</w:t>
            </w:r>
            <w:r>
              <w:rPr>
                <w:rFonts w:hint="eastAsia" w:ascii="宋体" w:hAnsi="宋体" w:eastAsia="宋体" w:cs="宋体"/>
                <w:sz w:val="21"/>
                <w:szCs w:val="21"/>
              </w:rPr>
              <w:t>时</w:t>
            </w:r>
            <w:r>
              <w:rPr>
                <w:rFonts w:hint="eastAsia" w:ascii="宋体" w:hAnsi="宋体" w:eastAsia="宋体" w:cs="宋体"/>
                <w:sz w:val="21"/>
                <w:szCs w:val="21"/>
                <w:lang w:val="en-US" w:eastAsia="zh-CN"/>
              </w:rPr>
              <w:t>具有</w:t>
            </w:r>
            <w:r>
              <w:rPr>
                <w:rFonts w:hint="eastAsia" w:ascii="宋体" w:hAnsi="宋体" w:eastAsia="宋体" w:cs="宋体"/>
                <w:sz w:val="21"/>
                <w:szCs w:val="21"/>
              </w:rPr>
              <w:t>热盖自动调节及锁住功能</w:t>
            </w:r>
            <w:r>
              <w:rPr>
                <w:rFonts w:hint="eastAsia" w:ascii="宋体" w:hAnsi="宋体" w:eastAsia="宋体" w:cs="宋体"/>
                <w:sz w:val="21"/>
                <w:szCs w:val="21"/>
                <w:lang w:val="en-US" w:eastAsia="zh-CN"/>
              </w:rPr>
              <w:t>；</w:t>
            </w:r>
            <w:r>
              <w:rPr>
                <w:rFonts w:hint="eastAsia" w:ascii="宋体" w:hAnsi="宋体" w:eastAsia="宋体" w:cs="宋体"/>
                <w:sz w:val="21"/>
                <w:szCs w:val="21"/>
              </w:rPr>
              <w:t>根据不同的反应管而自动调节热盖位置，保证反应体系不蒸发，确保定量的准确性。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00" w:type="dxa"/>
            <w:vMerge w:val="continue"/>
            <w:vAlign w:val="center"/>
          </w:tcPr>
          <w:p>
            <w:pPr>
              <w:spacing w:after="60" w:line="360" w:lineRule="auto"/>
              <w:jc w:val="center"/>
              <w:rPr>
                <w:rFonts w:asciiTheme="minorEastAsia" w:hAnsiTheme="minorEastAsia" w:eastAsiaTheme="minorEastAsia"/>
                <w:szCs w:val="21"/>
              </w:rPr>
            </w:pPr>
          </w:p>
        </w:tc>
        <w:tc>
          <w:tcPr>
            <w:tcW w:w="1980" w:type="dxa"/>
            <w:vMerge w:val="continue"/>
            <w:vAlign w:val="center"/>
          </w:tcPr>
          <w:p>
            <w:pPr>
              <w:spacing w:after="60" w:line="360" w:lineRule="auto"/>
              <w:jc w:val="center"/>
              <w:rPr>
                <w:rFonts w:asciiTheme="minorEastAsia" w:hAnsiTheme="minorEastAsia" w:eastAsiaTheme="minorEastAsia"/>
                <w:b/>
                <w:szCs w:val="21"/>
              </w:rPr>
            </w:pPr>
          </w:p>
        </w:tc>
        <w:tc>
          <w:tcPr>
            <w:tcW w:w="6737" w:type="dxa"/>
          </w:tcPr>
          <w:p>
            <w:pPr>
              <w:spacing w:after="60" w:line="360" w:lineRule="auto"/>
              <w:rPr>
                <w:rFonts w:hint="default" w:asciiTheme="minorEastAsia" w:hAnsiTheme="minorEastAsia" w:eastAsiaTheme="minorEastAsia"/>
                <w:b w:val="0"/>
                <w:bCs w:val="0"/>
                <w:szCs w:val="21"/>
                <w:lang w:val="en-US" w:eastAsia="zh-CN"/>
              </w:rPr>
            </w:pPr>
            <w:r>
              <w:rPr>
                <w:rFonts w:hint="eastAsia" w:asciiTheme="minorEastAsia" w:hAnsiTheme="minorEastAsia" w:eastAsiaTheme="minorEastAsia"/>
                <w:b w:val="0"/>
                <w:bCs w:val="0"/>
                <w:szCs w:val="21"/>
                <w:lang w:val="en-US" w:eastAsia="zh-CN"/>
              </w:rPr>
              <w:t>19、配置要求：</w:t>
            </w:r>
            <w:r>
              <w:rPr>
                <w:rFonts w:hint="eastAsia" w:ascii="宋体" w:hAnsi="宋体" w:eastAsia="宋体" w:cs="宋体"/>
                <w:sz w:val="21"/>
                <w:szCs w:val="21"/>
              </w:rPr>
              <w:t>荧光定量PCR仪</w:t>
            </w:r>
            <w:r>
              <w:rPr>
                <w:rFonts w:hint="eastAsia" w:ascii="宋体" w:hAnsi="宋体" w:eastAsia="宋体" w:cs="宋体"/>
                <w:sz w:val="21"/>
                <w:szCs w:val="21"/>
                <w:lang w:val="en-US" w:eastAsia="zh-CN"/>
              </w:rPr>
              <w:t>4套</w:t>
            </w:r>
          </w:p>
        </w:tc>
      </w:tr>
    </w:tbl>
    <w:p>
      <w:pPr>
        <w:spacing w:line="360" w:lineRule="auto"/>
        <w:rPr>
          <w:rFonts w:hint="eastAsia" w:ascii="宋体" w:hAnsi="宋体"/>
          <w:b/>
          <w:bCs/>
          <w:snapToGrid w:val="0"/>
          <w:kern w:val="0"/>
          <w:sz w:val="24"/>
        </w:rPr>
      </w:pPr>
    </w:p>
    <w:p>
      <w:pPr>
        <w:rPr>
          <w:rFonts w:hint="eastAsia" w:ascii="宋体" w:hAnsi="宋体"/>
          <w:b/>
          <w:bCs/>
          <w:snapToGrid w:val="0"/>
          <w:kern w:val="0"/>
          <w:sz w:val="24"/>
        </w:rPr>
      </w:pPr>
      <w:r>
        <w:rPr>
          <w:rFonts w:hint="eastAsia" w:ascii="宋体" w:hAnsi="宋体"/>
          <w:b/>
          <w:bCs/>
          <w:snapToGrid w:val="0"/>
          <w:kern w:val="0"/>
          <w:sz w:val="24"/>
        </w:rPr>
        <w:br w:type="page"/>
      </w:r>
    </w:p>
    <w:p>
      <w:pPr>
        <w:spacing w:line="360" w:lineRule="auto"/>
        <w:rPr>
          <w:rFonts w:ascii="宋体" w:hAnsi="宋体"/>
          <w:b/>
          <w:bCs/>
          <w:snapToGrid w:val="0"/>
          <w:kern w:val="0"/>
          <w:sz w:val="24"/>
        </w:rPr>
      </w:pPr>
      <w:r>
        <w:rPr>
          <w:rFonts w:hint="eastAsia" w:ascii="宋体" w:hAnsi="宋体"/>
          <w:b/>
          <w:bCs/>
          <w:snapToGrid w:val="0"/>
          <w:kern w:val="0"/>
          <w:sz w:val="24"/>
        </w:rPr>
        <w:t>三、商务要求</w:t>
      </w:r>
    </w:p>
    <w:tbl>
      <w:tblPr>
        <w:tblStyle w:val="50"/>
        <w:tblW w:w="100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1620"/>
        <w:gridCol w:w="7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目录</w:t>
            </w:r>
          </w:p>
        </w:tc>
        <w:tc>
          <w:tcPr>
            <w:tcW w:w="7559"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商务需求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（一）免费保修期内售后服务要求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223"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维修及维护服务</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kern w:val="0"/>
                <w:szCs w:val="21"/>
                <w:highlight w:val="yellow"/>
              </w:rPr>
              <w:t>1.1各投标人应在投标文件中列明各主机、配件和易耗品的保修期限</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并承诺提供整机免费保修期</w:t>
            </w:r>
            <w:r>
              <w:rPr>
                <w:rFonts w:hint="eastAsia" w:asciiTheme="minorEastAsia" w:hAnsiTheme="minorEastAsia" w:eastAsiaTheme="minorEastAsia"/>
                <w:b/>
                <w:kern w:val="0"/>
                <w:szCs w:val="21"/>
                <w:highlight w:val="yellow"/>
                <w:lang w:val="en-US" w:eastAsia="zh-CN"/>
              </w:rPr>
              <w:t>不少于</w:t>
            </w:r>
            <w:r>
              <w:rPr>
                <w:rFonts w:hint="eastAsia" w:asciiTheme="minorEastAsia" w:hAnsiTheme="minorEastAsia" w:eastAsiaTheme="minorEastAsia"/>
                <w:b/>
                <w:kern w:val="0"/>
                <w:szCs w:val="21"/>
                <w:highlight w:val="yellow"/>
                <w:u w:val="single"/>
                <w:lang w:val="en-US" w:eastAsia="zh-CN"/>
              </w:rPr>
              <w:t xml:space="preserve"> </w:t>
            </w:r>
            <w:r>
              <w:rPr>
                <w:rFonts w:hint="eastAsia" w:asciiTheme="minorEastAsia" w:hAnsiTheme="minorEastAsia" w:eastAsiaTheme="minorEastAsia"/>
                <w:b/>
                <w:bCs/>
                <w:kern w:val="0"/>
                <w:szCs w:val="21"/>
                <w:highlight w:val="yellow"/>
                <w:u w:val="single"/>
                <w:lang w:val="en-US" w:eastAsia="zh-CN"/>
              </w:rPr>
              <w:t xml:space="preserve">5 </w:t>
            </w:r>
            <w:r>
              <w:rPr>
                <w:rFonts w:hint="eastAsia" w:asciiTheme="minorEastAsia" w:hAnsiTheme="minorEastAsia" w:eastAsiaTheme="minorEastAsia"/>
                <w:b/>
                <w:kern w:val="0"/>
                <w:szCs w:val="21"/>
                <w:highlight w:val="yellow"/>
              </w:rPr>
              <w:t>年</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终身维修。保修期内</w:t>
            </w:r>
            <w:r>
              <w:rPr>
                <w:rFonts w:asciiTheme="minorEastAsia" w:hAnsiTheme="minorEastAsia" w:eastAsiaTheme="minorEastAsia"/>
                <w:b/>
                <w:kern w:val="0"/>
                <w:szCs w:val="21"/>
                <w:highlight w:val="yellow"/>
              </w:rPr>
              <w:t>,</w:t>
            </w:r>
            <w:r>
              <w:rPr>
                <w:rFonts w:hint="eastAsia" w:asciiTheme="minorEastAsia" w:hAnsiTheme="minorEastAsia" w:eastAsiaTheme="minorEastAsia"/>
                <w:b/>
                <w:kern w:val="0"/>
                <w:szCs w:val="21"/>
                <w:highlight w:val="yellow"/>
              </w:rPr>
              <w:t>年度定期预防性维护保养次数应不少于</w:t>
            </w:r>
            <w:r>
              <w:rPr>
                <w:rFonts w:hint="eastAsia" w:asciiTheme="minorEastAsia" w:hAnsiTheme="minorEastAsia" w:eastAsiaTheme="minorEastAsia"/>
                <w:b/>
                <w:bCs/>
                <w:kern w:val="0"/>
                <w:szCs w:val="21"/>
                <w:highlight w:val="yellow"/>
                <w:u w:val="single"/>
              </w:rPr>
              <w:t xml:space="preserve">  2  </w:t>
            </w:r>
            <w:r>
              <w:rPr>
                <w:rFonts w:hint="eastAsia" w:asciiTheme="minorEastAsia" w:hAnsiTheme="minorEastAsia" w:eastAsiaTheme="minorEastAsia"/>
                <w:b/>
                <w:kern w:val="0"/>
                <w:szCs w:val="21"/>
                <w:highlight w:val="yellow"/>
              </w:rPr>
              <w:t>次。保修期内免费更换零配件、免工时费。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1.2由设备制造商提供售后服务，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kern w:val="0"/>
                <w:szCs w:val="21"/>
              </w:rPr>
              <w:t>1.3投标人负责货物的终身维修，保证</w:t>
            </w:r>
            <w:r>
              <w:rPr>
                <w:rFonts w:hint="eastAsia" w:asciiTheme="minorEastAsia" w:hAnsiTheme="minorEastAsia" w:eastAsiaTheme="minorEastAsia"/>
                <w:bCs/>
                <w:kern w:val="0"/>
                <w:szCs w:val="21"/>
                <w:u w:val="single"/>
              </w:rPr>
              <w:t>终身</w:t>
            </w:r>
            <w:r>
              <w:rPr>
                <w:rFonts w:hint="eastAsia" w:asciiTheme="minorEastAsia" w:hAnsiTheme="minorEastAsia" w:eastAsiaTheme="minorEastAsia"/>
                <w:kern w:val="0"/>
                <w:szCs w:val="21"/>
              </w:rPr>
              <w:t>供应维修配件，</w:t>
            </w:r>
            <w:r>
              <w:rPr>
                <w:rFonts w:hint="eastAsia" w:asciiTheme="minorEastAsia" w:hAnsiTheme="minorEastAsia" w:eastAsiaTheme="minorEastAsia"/>
                <w:bCs/>
                <w:kern w:val="0"/>
                <w:szCs w:val="21"/>
                <w:u w:val="single"/>
              </w:rPr>
              <w:t xml:space="preserve">  3  </w:t>
            </w:r>
            <w:r>
              <w:rPr>
                <w:rFonts w:hint="eastAsia" w:asciiTheme="minorEastAsia" w:hAnsiTheme="minorEastAsia" w:eastAsiaTheme="minorEastAsia"/>
                <w:kern w:val="0"/>
                <w:szCs w:val="21"/>
              </w:rPr>
              <w:t>年内免费提供软件升级服务。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kern w:val="0"/>
                <w:szCs w:val="21"/>
              </w:rPr>
              <w:t>质量保证</w:t>
            </w:r>
          </w:p>
        </w:tc>
        <w:tc>
          <w:tcPr>
            <w:tcW w:w="7559" w:type="dxa"/>
          </w:tcPr>
          <w:p>
            <w:pPr>
              <w:spacing w:line="360" w:lineRule="auto"/>
              <w:rPr>
                <w:rFonts w:asciiTheme="minorEastAsia" w:hAnsiTheme="minorEastAsia" w:eastAsiaTheme="minorEastAsia"/>
                <w:color w:val="FF0000"/>
                <w:kern w:val="0"/>
                <w:szCs w:val="21"/>
              </w:rPr>
            </w:pPr>
            <w:r>
              <w:rPr>
                <w:rFonts w:hint="eastAsia" w:asciiTheme="minorEastAsia" w:hAnsiTheme="minorEastAsia" w:eastAsiaTheme="minorEastAsia"/>
                <w:kern w:val="0"/>
                <w:szCs w:val="21"/>
              </w:rPr>
              <w:t>2.1在保修期内</w:t>
            </w:r>
            <w:r>
              <w:rPr>
                <w:rFonts w:asciiTheme="minorEastAsia" w:hAnsiTheme="minorEastAsia" w:eastAsiaTheme="minorEastAsia"/>
                <w:kern w:val="0"/>
                <w:szCs w:val="21"/>
              </w:rPr>
              <w:t>,</w:t>
            </w:r>
            <w:r>
              <w:rPr>
                <w:rFonts w:hint="eastAsia" w:asciiTheme="minorEastAsia" w:hAnsiTheme="minorEastAsia" w:eastAsiaTheme="minorEastAsia"/>
                <w:kern w:val="0"/>
                <w:szCs w:val="21"/>
              </w:rPr>
              <w:t xml:space="preserve"> 投标人应确保年开机率在</w:t>
            </w:r>
            <w:r>
              <w:rPr>
                <w:rFonts w:asciiTheme="minorEastAsia" w:hAnsiTheme="minorEastAsia" w:eastAsiaTheme="minorEastAsia"/>
                <w:kern w:val="0"/>
                <w:szCs w:val="21"/>
              </w:rPr>
              <w:t>95%</w:t>
            </w:r>
            <w:r>
              <w:rPr>
                <w:rFonts w:hint="eastAsia" w:asciiTheme="minorEastAsia" w:hAnsiTheme="minorEastAsia" w:eastAsiaTheme="minorEastAsia"/>
                <w:kern w:val="0"/>
                <w:szCs w:val="21"/>
              </w:rPr>
              <w:t>以上</w:t>
            </w:r>
            <w:r>
              <w:rPr>
                <w:rFonts w:asciiTheme="minorEastAsia" w:hAnsiTheme="minorEastAsia" w:eastAsiaTheme="minorEastAsia"/>
                <w:kern w:val="0"/>
                <w:szCs w:val="21"/>
              </w:rPr>
              <w:t xml:space="preserve">, </w:t>
            </w:r>
            <w:r>
              <w:rPr>
                <w:rFonts w:hint="eastAsia" w:asciiTheme="minorEastAsia" w:hAnsiTheme="minorEastAsia" w:eastAsiaTheme="minorEastAsia"/>
                <w:kern w:val="0"/>
                <w:szCs w:val="21"/>
              </w:rPr>
              <w:t>若不能达到此开机率，将作以下处理：</w:t>
            </w:r>
            <w:r>
              <w:rPr>
                <w:rFonts w:asciiTheme="minorEastAsia" w:hAnsiTheme="minorEastAsia" w:eastAsiaTheme="minorEastAsia"/>
                <w:kern w:val="0"/>
                <w:szCs w:val="21"/>
              </w:rPr>
              <w:t>a.</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90-95%</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二 </w:t>
            </w:r>
            <w:r>
              <w:rPr>
                <w:rFonts w:hint="eastAsia" w:asciiTheme="minorEastAsia" w:hAnsiTheme="minorEastAsia" w:eastAsiaTheme="minorEastAsia"/>
                <w:kern w:val="0"/>
                <w:szCs w:val="21"/>
                <w:u w:val="single"/>
                <w:lang w:val="en-US" w:eastAsia="zh-CN"/>
              </w:rPr>
              <w:t xml:space="preserve">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b.</w:t>
            </w:r>
            <w:r>
              <w:rPr>
                <w:rFonts w:hint="eastAsia" w:asciiTheme="minorEastAsia" w:hAnsiTheme="minorEastAsia" w:eastAsiaTheme="minorEastAsia"/>
                <w:kern w:val="0"/>
                <w:szCs w:val="21"/>
              </w:rPr>
              <w:t xml:space="preserve"> 年开机率在</w:t>
            </w:r>
            <w:r>
              <w:rPr>
                <w:rFonts w:asciiTheme="minorEastAsia" w:hAnsiTheme="minorEastAsia" w:eastAsiaTheme="minorEastAsia"/>
                <w:kern w:val="0"/>
                <w:szCs w:val="21"/>
              </w:rPr>
              <w:t>85-90%</w:t>
            </w:r>
            <w:r>
              <w:rPr>
                <w:rFonts w:hint="eastAsia" w:asciiTheme="minorEastAsia" w:hAnsiTheme="minorEastAsia" w:eastAsiaTheme="minorEastAsia"/>
                <w:kern w:val="0"/>
                <w:szCs w:val="21"/>
              </w:rPr>
              <w:t>之间按一赔</w:t>
            </w:r>
            <w:r>
              <w:rPr>
                <w:rFonts w:hint="eastAsia" w:asciiTheme="minorEastAsia" w:hAnsiTheme="minorEastAsia" w:eastAsiaTheme="minorEastAsia"/>
                <w:kern w:val="0"/>
                <w:szCs w:val="21"/>
                <w:u w:val="single"/>
              </w:rPr>
              <w:t xml:space="preserve">  五 </w:t>
            </w:r>
            <w:r>
              <w:rPr>
                <w:rFonts w:hint="eastAsia" w:asciiTheme="minorEastAsia" w:hAnsiTheme="minorEastAsia" w:eastAsiaTheme="minorEastAsia"/>
                <w:kern w:val="0"/>
                <w:szCs w:val="21"/>
                <w:u w:val="single"/>
                <w:lang w:val="en-US" w:eastAsia="zh-CN"/>
              </w:rPr>
              <w:t xml:space="preserve"> </w:t>
            </w:r>
            <w:r>
              <w:rPr>
                <w:rFonts w:hint="eastAsia" w:asciiTheme="minorEastAsia" w:hAnsiTheme="minorEastAsia" w:eastAsiaTheme="minorEastAsia"/>
                <w:kern w:val="0"/>
                <w:szCs w:val="21"/>
              </w:rPr>
              <w:t>延长保修期；</w:t>
            </w:r>
            <w:r>
              <w:rPr>
                <w:rFonts w:asciiTheme="minorEastAsia" w:hAnsiTheme="minorEastAsia" w:eastAsiaTheme="minorEastAsia"/>
                <w:kern w:val="0"/>
                <w:szCs w:val="21"/>
              </w:rPr>
              <w:t>c.</w:t>
            </w:r>
            <w:r>
              <w:rPr>
                <w:rFonts w:hint="eastAsia" w:asciiTheme="minorEastAsia" w:hAnsiTheme="minorEastAsia" w:eastAsiaTheme="minorEastAsia"/>
                <w:kern w:val="0"/>
                <w:szCs w:val="21"/>
              </w:rPr>
              <w:t xml:space="preserve"> 年开机率低于</w:t>
            </w:r>
            <w:r>
              <w:rPr>
                <w:rFonts w:asciiTheme="minorEastAsia" w:hAnsiTheme="minorEastAsia" w:eastAsiaTheme="minorEastAsia"/>
                <w:kern w:val="0"/>
                <w:szCs w:val="21"/>
              </w:rPr>
              <w:t>85%</w:t>
            </w:r>
            <w:r>
              <w:rPr>
                <w:rFonts w:hint="eastAsia" w:asciiTheme="minorEastAsia" w:hAnsiTheme="minorEastAsia" w:eastAsiaTheme="minorEastAsia"/>
                <w:kern w:val="0"/>
                <w:szCs w:val="21"/>
              </w:rPr>
              <w:t>，投标人必须无条件更换新机，并重新计算保修期，以及赔偿用户的直接经济损失和间接经济损失。注：年开机率=（365-停机天数）/365）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（二）免费保修期外售后服务要求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维修零配件、消耗品和延续保修合同的报价</w:t>
            </w: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1.1由设备制造商提供售后服务，</w:t>
            </w:r>
            <w:r>
              <w:rPr>
                <w:rFonts w:hint="eastAsia" w:asciiTheme="minorEastAsia" w:hAnsiTheme="minorEastAsia" w:eastAsiaTheme="minorEastAsia"/>
                <w:bCs/>
                <w:kern w:val="0"/>
                <w:szCs w:val="21"/>
                <w:u w:val="single"/>
              </w:rPr>
              <w:t xml:space="preserve">  2  </w:t>
            </w:r>
            <w:r>
              <w:rPr>
                <w:rFonts w:hint="eastAsia" w:asciiTheme="minorEastAsia" w:hAnsiTheme="minorEastAsia" w:eastAsiaTheme="minorEastAsia"/>
                <w:kern w:val="0"/>
                <w:szCs w:val="21"/>
              </w:rPr>
              <w:t>小时内响应，</w:t>
            </w:r>
            <w:r>
              <w:rPr>
                <w:rFonts w:hint="eastAsia" w:asciiTheme="minorEastAsia" w:hAnsiTheme="minorEastAsia" w:eastAsiaTheme="minorEastAsia"/>
                <w:bCs/>
                <w:kern w:val="0"/>
                <w:szCs w:val="21"/>
                <w:u w:val="single"/>
              </w:rPr>
              <w:t xml:space="preserve">  24  </w:t>
            </w:r>
            <w:r>
              <w:rPr>
                <w:rFonts w:hint="eastAsia" w:asciiTheme="minorEastAsia" w:hAnsiTheme="minorEastAsia" w:eastAsiaTheme="minorEastAsia"/>
                <w:kern w:val="0"/>
                <w:szCs w:val="21"/>
              </w:rPr>
              <w:t>小时维修到位（不可抗力情况除外）。消耗品和零配件供应及时，特殊情况下可提供备用机。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1.2保修期满后，投标人应以优惠价供应维修零配件、消耗品和延续保修合同。价格最高的前5项零配件、消耗品和延续保修合同的报价明细必须填写于《零配件、消耗品和延续保修合同报价明细清单》中。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1.3采购人可与投标人就优惠价进行谈判，但优惠价不得高于投标人在投标文件的《零配件、消耗品和延续保修合同报价明细清单》中承诺的维修零配件、消耗品和延续保修合同的报价。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1.4设备制造商维修的货物经采购人验收合格，且设备制造商提供维修专用发票后，采购人支付维修费用。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rPr>
              <w:t>1.5投标人及设备制造商不得以任何理由不按时进行维修，不得要求采购人购买所谓“保修服务”（即：不论设备有无故障先买保修服务），不得在设备中嵌设任何不利于采购人使用与维修设备的障碍。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13" w:type="dxa"/>
            <w:gridSpan w:val="3"/>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（三）其他商务要求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1</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szCs w:val="21"/>
              </w:rPr>
              <w:t>交货要求</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kern w:val="0"/>
                <w:szCs w:val="21"/>
                <w:highlight w:val="yellow"/>
              </w:rPr>
              <w:t>★</w:t>
            </w:r>
            <w:r>
              <w:rPr>
                <w:rFonts w:hint="eastAsia" w:asciiTheme="minorEastAsia" w:hAnsiTheme="minorEastAsia" w:eastAsiaTheme="minorEastAsia"/>
                <w:b/>
                <w:bCs/>
                <w:szCs w:val="21"/>
                <w:highlight w:val="yellow"/>
              </w:rPr>
              <w:t>1.1</w:t>
            </w:r>
            <w:r>
              <w:rPr>
                <w:rFonts w:hint="eastAsia" w:asciiTheme="minorEastAsia" w:hAnsiTheme="minorEastAsia" w:eastAsiaTheme="minorEastAsia"/>
                <w:b/>
                <w:bCs/>
                <w:kern w:val="0"/>
                <w:szCs w:val="21"/>
                <w:highlight w:val="yellow"/>
              </w:rPr>
              <w:t>签订合同之日起</w:t>
            </w:r>
            <w:r>
              <w:rPr>
                <w:rFonts w:hint="eastAsia" w:asciiTheme="minorEastAsia" w:hAnsiTheme="minorEastAsia" w:eastAsiaTheme="minorEastAsia"/>
                <w:b/>
                <w:bCs/>
                <w:kern w:val="0"/>
                <w:szCs w:val="21"/>
                <w:highlight w:val="yellow"/>
                <w:u w:val="single"/>
                <w:lang w:val="en-US" w:eastAsia="zh-CN"/>
              </w:rPr>
              <w:t xml:space="preserve"> 60 </w:t>
            </w:r>
            <w:r>
              <w:rPr>
                <w:rFonts w:hint="eastAsia" w:asciiTheme="minorEastAsia" w:hAnsiTheme="minorEastAsia" w:eastAsiaTheme="minorEastAsia"/>
                <w:b/>
                <w:bCs/>
                <w:kern w:val="0"/>
                <w:szCs w:val="21"/>
                <w:highlight w:val="yellow"/>
              </w:rPr>
              <w:t>天（日历日）内交货。指合同生效后，中标方将全部货物运抵并安装调试完成，经验收合格，正式交付用户使用所需的时间（产品的附件、备品备件及专用工具、技术文件和资料等应随产品一同交付）。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1.2投标人</w:t>
            </w:r>
            <w:r>
              <w:rPr>
                <w:rFonts w:hint="eastAsia" w:asciiTheme="minorEastAsia" w:hAnsiTheme="minorEastAsia" w:eastAsiaTheme="minorEastAsia"/>
                <w:kern w:val="0"/>
                <w:szCs w:val="21"/>
              </w:rPr>
              <w:t>应提供货物的技术文件，包括但不限于设备配置清单、产品说明书、图纸、操作手册、维护手册（含维修密码及接口数据）、质量保证文件、服务指南等，所有外文资料须提供中文译本。文件应随货物一并交付至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szCs w:val="21"/>
              </w:rPr>
            </w:pP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1.3提供的货物必须为全新、经检验合格的产品。产品如需要计量检定的应提供相关计量检定部门出具的合法检定报告。其中，进口设备必须具有</w:t>
            </w:r>
            <w:r>
              <w:rPr>
                <w:rFonts w:hint="eastAsia" w:asciiTheme="minorEastAsia" w:hAnsiTheme="minorEastAsia" w:eastAsiaTheme="minorEastAsia"/>
                <w:kern w:val="0"/>
                <w:szCs w:val="21"/>
              </w:rPr>
              <w:t>报关证明</w:t>
            </w:r>
            <w:r>
              <w:rPr>
                <w:rFonts w:hint="eastAsia" w:asciiTheme="minorEastAsia" w:hAnsiTheme="minorEastAsia" w:eastAsiaTheme="minorEastAsia"/>
                <w:spacing w:val="-3"/>
                <w:szCs w:val="21"/>
              </w:rPr>
              <w:t>文件、</w:t>
            </w:r>
            <w:r>
              <w:rPr>
                <w:rFonts w:hint="eastAsia" w:asciiTheme="minorEastAsia" w:hAnsiTheme="minorEastAsia" w:eastAsiaTheme="minorEastAsia"/>
                <w:kern w:val="0"/>
                <w:szCs w:val="21"/>
              </w:rPr>
              <w:t>原产地证明和</w:t>
            </w:r>
            <w:r>
              <w:rPr>
                <w:rFonts w:hint="eastAsia" w:asciiTheme="minorEastAsia" w:hAnsiTheme="minorEastAsia" w:eastAsiaTheme="minorEastAsia"/>
                <w:spacing w:val="-3"/>
                <w:szCs w:val="21"/>
              </w:rPr>
              <w:t>商检合格证明文件。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2</w:t>
            </w:r>
          </w:p>
        </w:tc>
        <w:tc>
          <w:tcPr>
            <w:tcW w:w="1620" w:type="dxa"/>
            <w:vMerge w:val="restart"/>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b/>
                <w:bCs/>
                <w:kern w:val="0"/>
                <w:szCs w:val="21"/>
              </w:rPr>
              <w:t>运输、安装和验收</w:t>
            </w:r>
          </w:p>
        </w:tc>
        <w:tc>
          <w:tcPr>
            <w:tcW w:w="7559" w:type="dxa"/>
          </w:tcPr>
          <w:p>
            <w:pPr>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2.1投标人</w:t>
            </w:r>
            <w:r>
              <w:rPr>
                <w:rFonts w:hint="eastAsia" w:asciiTheme="minorEastAsia" w:hAnsiTheme="minorEastAsia" w:eastAsiaTheme="minorEastAsia"/>
                <w:bCs/>
                <w:kern w:val="0"/>
                <w:szCs w:val="21"/>
              </w:rPr>
              <w:t>负责将</w:t>
            </w:r>
            <w:r>
              <w:rPr>
                <w:rFonts w:hint="eastAsia" w:asciiTheme="minorEastAsia" w:hAnsiTheme="minorEastAsia" w:eastAsiaTheme="minorEastAsia"/>
                <w:kern w:val="0"/>
                <w:szCs w:val="21"/>
              </w:rPr>
              <w:t>货物</w:t>
            </w:r>
            <w:r>
              <w:rPr>
                <w:rFonts w:hint="eastAsia" w:asciiTheme="minorEastAsia" w:hAnsiTheme="minorEastAsia" w:eastAsiaTheme="minorEastAsia"/>
                <w:bCs/>
                <w:kern w:val="0"/>
                <w:szCs w:val="21"/>
              </w:rPr>
              <w:t>安全无损运抵采购人指定地点,并承担设备的包装、运输、保险、装卸、安装调试、培训、商检及计量检测、关税、增值税和进口代理等费用。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bCs/>
                <w:szCs w:val="21"/>
              </w:rPr>
              <w:t>2.2</w:t>
            </w:r>
            <w:r>
              <w:rPr>
                <w:rFonts w:hint="eastAsia" w:asciiTheme="minorEastAsia" w:hAnsiTheme="minorEastAsia" w:eastAsiaTheme="minorEastAsia"/>
                <w:bCs/>
                <w:kern w:val="0"/>
                <w:szCs w:val="21"/>
              </w:rPr>
              <w:t>采购人有权检验或测试货物，以确认货物是否符合合同规格的要求，并且不承担额外的费用。如果发现所交货物与投标文件中所承诺的不符或存在质量、技术缺陷等</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采购人可以拒绝接收该货物</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投标人应在</w:t>
            </w:r>
            <w:r>
              <w:rPr>
                <w:rFonts w:hint="eastAsia" w:asciiTheme="minorEastAsia" w:hAnsiTheme="minorEastAsia" w:eastAsiaTheme="minorEastAsia"/>
                <w:bCs/>
                <w:kern w:val="0"/>
                <w:szCs w:val="21"/>
                <w:u w:val="single"/>
              </w:rPr>
              <w:t xml:space="preserve"> 3个工作日</w:t>
            </w:r>
            <w:r>
              <w:rPr>
                <w:rFonts w:hint="eastAsia" w:asciiTheme="minorEastAsia" w:hAnsiTheme="minorEastAsia" w:eastAsiaTheme="minorEastAsia"/>
                <w:bCs/>
                <w:kern w:val="0"/>
                <w:szCs w:val="21"/>
              </w:rPr>
              <w:t>内采取补足、更换或退货等措施</w:t>
            </w:r>
            <w:r>
              <w:rPr>
                <w:rFonts w:asciiTheme="minorEastAsia" w:hAnsiTheme="minorEastAsia" w:eastAsiaTheme="minorEastAsia"/>
                <w:bCs/>
                <w:kern w:val="0"/>
                <w:szCs w:val="21"/>
              </w:rPr>
              <w:t>,</w:t>
            </w:r>
            <w:r>
              <w:rPr>
                <w:rFonts w:hint="eastAsia" w:asciiTheme="minorEastAsia" w:hAnsiTheme="minorEastAsia" w:eastAsiaTheme="minorEastAsia"/>
                <w:bCs/>
                <w:kern w:val="0"/>
                <w:szCs w:val="21"/>
              </w:rPr>
              <w:t>以满足规格的要求，由此发生的一切损失和费用由投标人承担。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2.3投标人负责货物的现场安装和调试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提供货物安装、调试和维修所需的专用工具和辅助材料。投标人应在货物运至指定地点后一周内开始安装调试</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并在</w:t>
            </w:r>
            <w:r>
              <w:rPr>
                <w:rFonts w:hint="eastAsia" w:asciiTheme="minorEastAsia" w:hAnsiTheme="minorEastAsia" w:eastAsiaTheme="minorEastAsia"/>
                <w:bCs/>
                <w:kern w:val="0"/>
                <w:szCs w:val="21"/>
                <w:u w:val="single"/>
              </w:rPr>
              <w:t xml:space="preserve">  7 </w:t>
            </w:r>
            <w:r>
              <w:rPr>
                <w:rFonts w:hint="eastAsia" w:asciiTheme="minorEastAsia" w:hAnsiTheme="minorEastAsia" w:eastAsiaTheme="minorEastAsia"/>
                <w:spacing w:val="-3"/>
                <w:szCs w:val="21"/>
              </w:rPr>
              <w:t>天内安装调试完毕。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szCs w:val="21"/>
              </w:rPr>
            </w:pPr>
          </w:p>
        </w:tc>
        <w:tc>
          <w:tcPr>
            <w:tcW w:w="7559" w:type="dxa"/>
          </w:tcPr>
          <w:p>
            <w:pPr>
              <w:tabs>
                <w:tab w:val="left" w:pos="1260"/>
              </w:tabs>
              <w:spacing w:line="360" w:lineRule="auto"/>
              <w:rPr>
                <w:rFonts w:asciiTheme="minorEastAsia" w:hAnsiTheme="minorEastAsia" w:eastAsiaTheme="minorEastAsia"/>
                <w:bCs/>
                <w:szCs w:val="21"/>
              </w:rPr>
            </w:pPr>
            <w:r>
              <w:rPr>
                <w:rFonts w:hint="eastAsia" w:asciiTheme="minorEastAsia" w:hAnsiTheme="minorEastAsia" w:eastAsiaTheme="minorEastAsia"/>
                <w:spacing w:val="-3"/>
                <w:szCs w:val="21"/>
              </w:rPr>
              <w:t>2.4由投标人代表和采购人组成验收小组对产品进行验收。验收标准按照国家规定标准执行。经检验设备正常运作后签署验收报告</w:t>
            </w:r>
            <w:r>
              <w:rPr>
                <w:rFonts w:asciiTheme="minorEastAsia" w:hAnsiTheme="minorEastAsia" w:eastAsiaTheme="minorEastAsia"/>
                <w:spacing w:val="-3"/>
                <w:szCs w:val="21"/>
              </w:rPr>
              <w:t>,</w:t>
            </w:r>
            <w:r>
              <w:rPr>
                <w:rFonts w:hint="eastAsia" w:asciiTheme="minorEastAsia" w:hAnsiTheme="minorEastAsia" w:eastAsiaTheme="minorEastAsia"/>
                <w:spacing w:val="-3"/>
                <w:szCs w:val="21"/>
              </w:rPr>
              <w:t>产品保修期自验收合格之日起算。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3</w:t>
            </w:r>
          </w:p>
        </w:tc>
        <w:tc>
          <w:tcPr>
            <w:tcW w:w="1620"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kern w:val="0"/>
                <w:szCs w:val="21"/>
              </w:rPr>
              <w:t>培训</w:t>
            </w:r>
          </w:p>
        </w:tc>
        <w:tc>
          <w:tcPr>
            <w:tcW w:w="7559" w:type="dxa"/>
          </w:tcPr>
          <w:p>
            <w:pPr>
              <w:spacing w:line="360" w:lineRule="auto"/>
              <w:rPr>
                <w:rFonts w:asciiTheme="minorEastAsia" w:hAnsiTheme="minorEastAsia" w:eastAsiaTheme="minorEastAsia"/>
                <w:b/>
                <w:szCs w:val="21"/>
              </w:rPr>
            </w:pPr>
            <w:r>
              <w:rPr>
                <w:rFonts w:hint="eastAsia" w:asciiTheme="minorEastAsia" w:hAnsiTheme="minorEastAsia" w:eastAsiaTheme="minorEastAsia"/>
                <w:bCs/>
                <w:kern w:val="0"/>
                <w:szCs w:val="21"/>
              </w:rPr>
              <w:t>3.1中标人应派专业技术人员免费对采购单位指定人员进行定期培训及指导，直至其完全掌握设备的基本故障处理技术。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834" w:type="dxa"/>
            <w:vMerge w:val="restart"/>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4</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知识产权</w:t>
            </w:r>
          </w:p>
        </w:tc>
        <w:tc>
          <w:tcPr>
            <w:tcW w:w="7559" w:type="dxa"/>
          </w:tcPr>
          <w:p>
            <w:pPr>
              <w:tabs>
                <w:tab w:val="left" w:pos="1260"/>
              </w:tabs>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4.1投标人应保证采购人在使用该货物或其任何一部分时，免受第三方提出的侵犯其专利权、商标权、著作权或其它知识产权的起诉。投标人保证所提供软件的合法性，所发生的任何知识产权纠纷与采购人无关。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3" w:hRule="atLeast"/>
          <w:jc w:val="center"/>
        </w:trPr>
        <w:tc>
          <w:tcPr>
            <w:tcW w:w="834" w:type="dxa"/>
            <w:vMerge w:val="continue"/>
            <w:vAlign w:val="center"/>
          </w:tcPr>
          <w:p>
            <w:pPr>
              <w:spacing w:line="360" w:lineRule="auto"/>
              <w:jc w:val="center"/>
              <w:rPr>
                <w:rFonts w:asciiTheme="minorEastAsia" w:hAnsiTheme="minorEastAsia" w:eastAsiaTheme="minorEastAsia"/>
                <w:b/>
                <w:kern w:val="0"/>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kern w:val="0"/>
                <w:szCs w:val="21"/>
              </w:rPr>
            </w:pPr>
            <w:r>
              <w:rPr>
                <w:rFonts w:hint="eastAsia" w:asciiTheme="minorEastAsia" w:hAnsiTheme="minorEastAsia" w:eastAsiaTheme="minorEastAsia"/>
                <w:kern w:val="0"/>
                <w:szCs w:val="21"/>
              </w:rPr>
              <w:t>4.2采购人购买产品后，有权对该产品与其他设备进行配套、整合或适当改进，而免受侵犯专利权的起诉。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5</w:t>
            </w:r>
          </w:p>
        </w:tc>
        <w:tc>
          <w:tcPr>
            <w:tcW w:w="1620" w:type="dxa"/>
            <w:vAlign w:val="center"/>
          </w:tcPr>
          <w:p>
            <w:pPr>
              <w:spacing w:line="360" w:lineRule="auto"/>
              <w:jc w:val="center"/>
              <w:rPr>
                <w:rFonts w:asciiTheme="minorEastAsia" w:hAnsiTheme="minorEastAsia" w:eastAsiaTheme="minorEastAsia"/>
                <w:b/>
                <w:bCs/>
                <w:kern w:val="0"/>
                <w:szCs w:val="21"/>
              </w:rPr>
            </w:pPr>
            <w:r>
              <w:rPr>
                <w:rFonts w:hint="eastAsia" w:asciiTheme="minorEastAsia" w:hAnsiTheme="minorEastAsia" w:eastAsiaTheme="minorEastAsia"/>
                <w:b/>
                <w:bCs/>
                <w:kern w:val="0"/>
                <w:szCs w:val="21"/>
              </w:rPr>
              <w:t>付款方式</w:t>
            </w:r>
          </w:p>
        </w:tc>
        <w:tc>
          <w:tcPr>
            <w:tcW w:w="7559" w:type="dxa"/>
          </w:tcPr>
          <w:p>
            <w:pPr>
              <w:pStyle w:val="18"/>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sz w:val="21"/>
                <w:szCs w:val="21"/>
              </w:rPr>
            </w:pPr>
            <w:r>
              <w:rPr>
                <w:rFonts w:hint="eastAsia" w:ascii="宋体" w:hAnsi="宋体" w:eastAsia="宋体" w:cs="宋体"/>
                <w:kern w:val="0"/>
                <w:sz w:val="21"/>
                <w:szCs w:val="21"/>
              </w:rPr>
              <w:t>5.1</w:t>
            </w:r>
            <w:r>
              <w:rPr>
                <w:rFonts w:hint="eastAsia" w:ascii="宋体" w:hAnsi="宋体" w:eastAsia="宋体" w:cs="宋体"/>
                <w:color w:val="auto"/>
                <w:sz w:val="21"/>
                <w:szCs w:val="21"/>
                <w:highlight w:val="none"/>
                <w:u w:val="none"/>
              </w:rPr>
              <w:t>货到安装调试验收合格后，乙方提交验收单、国家规定的全额正式发票（国内销售的进口设备还应提供相关的进口环节资料复印件</w:t>
            </w:r>
            <w:r>
              <w:rPr>
                <w:rFonts w:hint="eastAsia" w:ascii="宋体" w:hAnsi="宋体" w:eastAsia="宋体" w:cs="宋体"/>
                <w:color w:val="auto"/>
                <w:sz w:val="21"/>
                <w:szCs w:val="21"/>
                <w:highlight w:val="none"/>
                <w:u w:val="none"/>
                <w:lang w:eastAsia="zh-CN"/>
              </w:rPr>
              <w:t>并加盖乙方公章</w:t>
            </w:r>
            <w:r>
              <w:rPr>
                <w:rFonts w:hint="eastAsia" w:ascii="宋体" w:hAnsi="宋体" w:eastAsia="宋体" w:cs="宋体"/>
                <w:color w:val="auto"/>
                <w:sz w:val="21"/>
                <w:szCs w:val="21"/>
                <w:highlight w:val="none"/>
                <w:u w:val="none"/>
              </w:rPr>
              <w:t>），乙方先</w:t>
            </w:r>
            <w:r>
              <w:rPr>
                <w:rFonts w:hint="eastAsia" w:ascii="宋体" w:hAnsi="宋体" w:eastAsia="宋体" w:cs="宋体"/>
                <w:color w:val="auto"/>
                <w:sz w:val="21"/>
                <w:szCs w:val="21"/>
                <w:highlight w:val="none"/>
                <w:u w:val="none"/>
                <w:lang w:eastAsia="zh-CN"/>
              </w:rPr>
              <w:t>以银行保函形式提交</w:t>
            </w:r>
            <w:r>
              <w:rPr>
                <w:rFonts w:hint="eastAsia" w:ascii="宋体" w:hAnsi="宋体" w:eastAsia="宋体" w:cs="宋体"/>
                <w:color w:val="auto"/>
                <w:sz w:val="21"/>
                <w:szCs w:val="21"/>
                <w:highlight w:val="none"/>
                <w:u w:val="none"/>
              </w:rPr>
              <w:t>合同总价5%</w:t>
            </w:r>
            <w:r>
              <w:rPr>
                <w:rFonts w:hint="eastAsia" w:ascii="宋体" w:hAnsi="宋体" w:eastAsia="宋体" w:cs="宋体"/>
                <w:color w:val="auto"/>
                <w:sz w:val="21"/>
                <w:szCs w:val="21"/>
                <w:highlight w:val="none"/>
                <w:u w:val="none"/>
                <w:lang w:val="en-US" w:eastAsia="zh-CN"/>
              </w:rPr>
              <w:t>的</w:t>
            </w:r>
            <w:r>
              <w:rPr>
                <w:rFonts w:hint="eastAsia" w:ascii="宋体" w:hAnsi="宋体" w:eastAsia="宋体" w:cs="宋体"/>
                <w:color w:val="auto"/>
                <w:sz w:val="21"/>
                <w:szCs w:val="21"/>
                <w:highlight w:val="none"/>
                <w:u w:val="none"/>
              </w:rPr>
              <w:t>履约保证金（该保证金不计利息），甲方应于</w:t>
            </w:r>
            <w:r>
              <w:rPr>
                <w:rFonts w:hint="eastAsia" w:ascii="宋体" w:hAnsi="宋体" w:eastAsia="宋体" w:cs="宋体"/>
                <w:color w:val="auto"/>
                <w:sz w:val="21"/>
                <w:szCs w:val="21"/>
                <w:highlight w:val="none"/>
                <w:u w:val="none"/>
                <w:lang w:val="en-US" w:eastAsia="zh-CN"/>
              </w:rPr>
              <w:t>收到银行保函之日起</w:t>
            </w:r>
            <w:r>
              <w:rPr>
                <w:rFonts w:hint="eastAsia" w:ascii="宋体" w:hAnsi="宋体" w:eastAsia="宋体" w:cs="宋体"/>
                <w:color w:val="auto"/>
                <w:sz w:val="21"/>
                <w:szCs w:val="21"/>
                <w:highlight w:val="none"/>
                <w:u w:val="none"/>
              </w:rPr>
              <w:t>一个月内支付中标金额的100%货款</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自验收合格之日起，设备正常使用一年并由使用部门确认无质量问题后</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一个月内</w:t>
            </w:r>
            <w:r>
              <w:rPr>
                <w:rFonts w:hint="eastAsia" w:ascii="宋体" w:hAnsi="宋体" w:eastAsia="宋体" w:cs="宋体"/>
                <w:color w:val="auto"/>
                <w:sz w:val="21"/>
                <w:szCs w:val="21"/>
                <w:highlight w:val="none"/>
                <w:u w:val="none"/>
                <w:lang w:eastAsia="zh-CN"/>
              </w:rPr>
              <w:t>按原方式</w:t>
            </w:r>
            <w:r>
              <w:rPr>
                <w:rFonts w:hint="eastAsia" w:ascii="宋体" w:hAnsi="宋体" w:eastAsia="宋体" w:cs="宋体"/>
                <w:color w:val="auto"/>
                <w:sz w:val="21"/>
                <w:szCs w:val="21"/>
                <w:highlight w:val="none"/>
                <w:u w:val="none"/>
              </w:rPr>
              <w:t>退回保证金</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lang w:val="en-US" w:eastAsia="zh-CN"/>
              </w:rPr>
              <w:t>具体以银行保函载明的内容为准</w:t>
            </w:r>
            <w:r>
              <w:rPr>
                <w:rFonts w:hint="eastAsia" w:ascii="宋体" w:hAnsi="宋体" w:eastAsia="宋体" w:cs="宋体"/>
                <w:color w:val="auto"/>
                <w:sz w:val="21"/>
                <w:szCs w:val="21"/>
                <w:highlight w:val="none"/>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834" w:type="dxa"/>
            <w:vMerge w:val="restart"/>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6</w:t>
            </w:r>
          </w:p>
        </w:tc>
        <w:tc>
          <w:tcPr>
            <w:tcW w:w="1620" w:type="dxa"/>
            <w:vMerge w:val="restart"/>
            <w:vAlign w:val="center"/>
          </w:tcPr>
          <w:p>
            <w:pPr>
              <w:tabs>
                <w:tab w:val="left" w:pos="1260"/>
              </w:tabs>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违约责任</w:t>
            </w:r>
          </w:p>
        </w:tc>
        <w:tc>
          <w:tcPr>
            <w:tcW w:w="7559" w:type="dxa"/>
          </w:tcPr>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Cs/>
                <w:kern w:val="0"/>
                <w:sz w:val="21"/>
                <w:szCs w:val="21"/>
              </w:rPr>
            </w:pPr>
            <w:r>
              <w:rPr>
                <w:rFonts w:hint="eastAsia" w:ascii="宋体" w:hAnsi="宋体" w:eastAsia="宋体" w:cs="宋体"/>
                <w:bCs/>
                <w:kern w:val="0"/>
                <w:sz w:val="21"/>
                <w:szCs w:val="21"/>
              </w:rPr>
              <w:t>6.1如投标人未按照投标文件中承诺的时间交货或提供服务，投标人应承担延期交货和延期服务的违约责任，并赔偿采购人因此造成的实际经济损失。实际经济损失超出履约保证金额，采购人有权终止合同。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6.2投标人所交设备的品种、型号、规格、质量、功能、技术参数等方面不能实质性满足招标文件要约的，采购人有权拒绝收货，投标人向采购人偿付项目采购金额千分之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6.3投标人不能交付设备的，投标人向采购人偿付项目采购金额千分之</w:t>
            </w:r>
            <w:r>
              <w:rPr>
                <w:rFonts w:hint="eastAsia" w:asciiTheme="minorEastAsia" w:hAnsiTheme="minorEastAsia" w:eastAsiaTheme="minorEastAsia"/>
                <w:bCs/>
                <w:kern w:val="0"/>
                <w:szCs w:val="21"/>
                <w:u w:val="single"/>
              </w:rPr>
              <w:t xml:space="preserve">  十 </w:t>
            </w:r>
            <w:r>
              <w:rPr>
                <w:rFonts w:hint="eastAsia" w:asciiTheme="minorEastAsia" w:hAnsiTheme="minorEastAsia" w:eastAsiaTheme="minorEastAsia"/>
                <w:bCs/>
                <w:kern w:val="0"/>
                <w:szCs w:val="21"/>
              </w:rPr>
              <w:t>（千分之十以上千分之二十以下）的违约金；造成严重后果的，根据《</w:t>
            </w:r>
            <w:r>
              <w:rPr>
                <w:rFonts w:asciiTheme="minorEastAsia" w:hAnsiTheme="minorEastAsia" w:eastAsiaTheme="minorEastAsia"/>
                <w:bCs/>
                <w:kern w:val="0"/>
                <w:szCs w:val="21"/>
              </w:rPr>
              <w:t>深圳经济特区政府采购条例</w:t>
            </w:r>
            <w:r>
              <w:rPr>
                <w:rFonts w:hint="eastAsia" w:asciiTheme="minorEastAsia" w:hAnsiTheme="minorEastAsia" w:eastAsiaTheme="minorEastAsia"/>
                <w:bCs/>
                <w:kern w:val="0"/>
                <w:szCs w:val="21"/>
              </w:rPr>
              <w:t>》第五十七条第（二）款规定，由主管部门对中标人进行处罚。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70"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asciiTheme="minorEastAsia" w:hAnsiTheme="minorEastAsia" w:eastAsiaTheme="minorEastAsia"/>
                <w:bCs/>
                <w:kern w:val="0"/>
                <w:szCs w:val="21"/>
              </w:rPr>
            </w:pPr>
            <w:r>
              <w:rPr>
                <w:rFonts w:hint="eastAsia" w:asciiTheme="minorEastAsia" w:hAnsiTheme="minorEastAsia" w:eastAsiaTheme="minorEastAsia"/>
                <w:bCs/>
                <w:kern w:val="0"/>
                <w:szCs w:val="21"/>
              </w:rPr>
              <w:t>6.4投标人逾期未交设备的，投标人向采购人每日偿付设备款千分之</w:t>
            </w:r>
            <w:r>
              <w:rPr>
                <w:rFonts w:hint="eastAsia" w:asciiTheme="minorEastAsia" w:hAnsiTheme="minorEastAsia" w:eastAsiaTheme="minorEastAsia"/>
                <w:bCs/>
                <w:kern w:val="0"/>
                <w:szCs w:val="21"/>
                <w:u w:val="single"/>
              </w:rPr>
              <w:t xml:space="preserve">  五  </w:t>
            </w:r>
            <w:r>
              <w:rPr>
                <w:rFonts w:hint="eastAsia" w:asciiTheme="minorEastAsia" w:hAnsiTheme="minorEastAsia" w:eastAsiaTheme="minorEastAsia"/>
                <w:bCs/>
                <w:kern w:val="0"/>
                <w:szCs w:val="21"/>
              </w:rPr>
              <w:t>的违约金。投标人超过交货期限</w:t>
            </w:r>
            <w:r>
              <w:rPr>
                <w:rFonts w:hint="eastAsia" w:asciiTheme="minorEastAsia" w:hAnsiTheme="minorEastAsia" w:eastAsiaTheme="minorEastAsia"/>
                <w:bCs/>
                <w:kern w:val="0"/>
                <w:szCs w:val="21"/>
                <w:u w:val="single"/>
              </w:rPr>
              <w:t xml:space="preserve"> 30  </w:t>
            </w:r>
            <w:r>
              <w:rPr>
                <w:rFonts w:hint="eastAsia" w:asciiTheme="minorEastAsia" w:hAnsiTheme="minorEastAsia" w:eastAsiaTheme="minorEastAsia"/>
                <w:bCs/>
                <w:kern w:val="0"/>
                <w:szCs w:val="21"/>
              </w:rPr>
              <w:t>日仍未交货，采购人有权解除合同。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834" w:type="dxa"/>
            <w:vMerge w:val="continue"/>
            <w:vAlign w:val="center"/>
          </w:tcPr>
          <w:p>
            <w:pPr>
              <w:spacing w:line="360" w:lineRule="auto"/>
              <w:jc w:val="center"/>
              <w:rPr>
                <w:rFonts w:asciiTheme="minorEastAsia" w:hAnsiTheme="minorEastAsia" w:eastAsiaTheme="minorEastAsia"/>
                <w:b/>
                <w:szCs w:val="21"/>
              </w:rPr>
            </w:pPr>
          </w:p>
        </w:tc>
        <w:tc>
          <w:tcPr>
            <w:tcW w:w="1620" w:type="dxa"/>
            <w:vMerge w:val="continue"/>
            <w:vAlign w:val="center"/>
          </w:tcPr>
          <w:p>
            <w:pPr>
              <w:spacing w:line="360" w:lineRule="auto"/>
              <w:jc w:val="center"/>
              <w:rPr>
                <w:rFonts w:asciiTheme="minorEastAsia" w:hAnsiTheme="minorEastAsia" w:eastAsiaTheme="minorEastAsia"/>
                <w:b/>
                <w:kern w:val="0"/>
                <w:szCs w:val="21"/>
              </w:rPr>
            </w:pPr>
          </w:p>
        </w:tc>
        <w:tc>
          <w:tcPr>
            <w:tcW w:w="7559" w:type="dxa"/>
          </w:tcPr>
          <w:p>
            <w:pPr>
              <w:spacing w:line="360" w:lineRule="auto"/>
              <w:rPr>
                <w:rFonts w:hint="eastAsia" w:asciiTheme="minorEastAsia" w:hAnsiTheme="minorEastAsia" w:eastAsiaTheme="minorEastAsia"/>
                <w:bCs/>
                <w:kern w:val="0"/>
                <w:szCs w:val="21"/>
              </w:rPr>
            </w:pPr>
            <w:r>
              <w:rPr>
                <w:rFonts w:hint="eastAsia" w:ascii="宋体" w:hAnsi="宋体"/>
                <w:bCs/>
                <w:kern w:val="0"/>
                <w:szCs w:val="21"/>
              </w:rPr>
              <w:t>6.5违约金先从由投标人履约保证金中扣除，若有不足部分则由中标人补齐。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50" w:hRule="atLeast"/>
          <w:jc w:val="center"/>
        </w:trPr>
        <w:tc>
          <w:tcPr>
            <w:tcW w:w="83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7</w:t>
            </w:r>
          </w:p>
        </w:tc>
        <w:tc>
          <w:tcPr>
            <w:tcW w:w="1620" w:type="dxa"/>
            <w:vAlign w:val="center"/>
          </w:tcPr>
          <w:p>
            <w:pPr>
              <w:spacing w:line="360" w:lineRule="auto"/>
              <w:jc w:val="center"/>
              <w:rPr>
                <w:rFonts w:asciiTheme="minorEastAsia" w:hAnsiTheme="minorEastAsia" w:eastAsiaTheme="minorEastAsia"/>
                <w:b/>
                <w:kern w:val="0"/>
                <w:szCs w:val="21"/>
              </w:rPr>
            </w:pPr>
            <w:r>
              <w:rPr>
                <w:rFonts w:hint="eastAsia" w:asciiTheme="minorEastAsia" w:hAnsiTheme="minorEastAsia" w:eastAsiaTheme="minorEastAsia"/>
                <w:b/>
                <w:kern w:val="0"/>
                <w:szCs w:val="21"/>
              </w:rPr>
              <w:t>其他</w:t>
            </w:r>
          </w:p>
        </w:tc>
        <w:tc>
          <w:tcPr>
            <w:tcW w:w="7559" w:type="dxa"/>
            <w:vAlign w:val="center"/>
          </w:tcPr>
          <w:p>
            <w:pPr>
              <w:spacing w:line="360" w:lineRule="auto"/>
              <w:rPr>
                <w:rFonts w:asciiTheme="minorEastAsia" w:hAnsiTheme="minorEastAsia" w:eastAsiaTheme="minorEastAsia"/>
                <w:b/>
                <w:szCs w:val="21"/>
              </w:rPr>
            </w:pPr>
            <w:r>
              <w:rPr>
                <w:rFonts w:hint="eastAsia" w:asciiTheme="minorEastAsia" w:hAnsiTheme="minorEastAsia" w:eastAsiaTheme="minorEastAsia"/>
                <w:bCs/>
                <w:szCs w:val="21"/>
              </w:rPr>
              <w:t>7.1投标人应按其投标文件中的承诺，进行其他售后服务工作。</w:t>
            </w:r>
          </w:p>
        </w:tc>
      </w:tr>
    </w:tbl>
    <w:p/>
    <w:p/>
    <w:p>
      <w:pPr>
        <w:widowControl/>
        <w:jc w:val="left"/>
      </w:pPr>
    </w:p>
    <w:p>
      <w:pPr>
        <w:widowControl/>
        <w:jc w:val="left"/>
      </w:pPr>
      <w:r>
        <w:br w:type="page"/>
      </w:r>
    </w:p>
    <w:p/>
    <w:p>
      <w:pPr>
        <w:pStyle w:val="3"/>
      </w:pPr>
      <w:bookmarkStart w:id="2" w:name="_Toc110410287"/>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3、未按招标文件要求提供法定代表人（负责人）证明书和法定代表人（负责人）授权委托书。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
      <w:pPr>
        <w:widowControl/>
        <w:jc w:val="left"/>
      </w:pPr>
      <w:r>
        <w:br w:type="page"/>
      </w:r>
    </w:p>
    <w:p/>
    <w:p>
      <w:pPr>
        <w:pStyle w:val="3"/>
        <w:spacing w:afterLines="100"/>
      </w:pPr>
      <w:bookmarkStart w:id="3" w:name="_Toc110410288"/>
      <w:r>
        <w:rPr>
          <w:rFonts w:hint="eastAsia"/>
        </w:rPr>
        <w:t>第四章  评标方法和标准</w:t>
      </w:r>
      <w:bookmarkEnd w:id="3"/>
    </w:p>
    <w:p>
      <w:pPr>
        <w:pStyle w:val="4"/>
        <w:spacing w:before="0" w:after="0"/>
      </w:pPr>
      <w:bookmarkStart w:id="4" w:name="_Toc44690429"/>
      <w:bookmarkStart w:id="5" w:name="_Toc44691393"/>
      <w:bookmarkStart w:id="6" w:name="_Toc44691161"/>
      <w:bookmarkStart w:id="7" w:name="_Toc110410289"/>
      <w:bookmarkStart w:id="8" w:name="_Toc44690702"/>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排名，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4"/>
        <w:spacing w:before="0" w:after="0"/>
      </w:pPr>
      <w:bookmarkStart w:id="9" w:name="_Toc110410290"/>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48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854"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技术规格偏离情况</w:t>
            </w:r>
          </w:p>
        </w:tc>
        <w:tc>
          <w:tcPr>
            <w:tcW w:w="709" w:type="dxa"/>
            <w:vAlign w:val="center"/>
          </w:tcPr>
          <w:p>
            <w:pPr>
              <w:widowControl/>
              <w:spacing w:line="360" w:lineRule="exact"/>
              <w:jc w:val="center"/>
              <w:rPr>
                <w:rFonts w:hint="default" w:ascii="宋体" w:hAnsi="宋体" w:eastAsia="宋体" w:cs="仿宋"/>
                <w:kern w:val="0"/>
                <w:szCs w:val="21"/>
                <w:lang w:val="en-US" w:eastAsia="zh-CN"/>
              </w:rPr>
            </w:pPr>
            <w:r>
              <w:rPr>
                <w:rFonts w:hint="eastAsia" w:ascii="宋体" w:hAnsi="宋体" w:cs="仿宋"/>
                <w:kern w:val="0"/>
                <w:szCs w:val="21"/>
                <w:lang w:val="en-US" w:eastAsia="zh-CN"/>
              </w:rPr>
              <w:t>45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投标人应如实填写《技术规格偏离表》，各项技术参数指标及要求全部满足的得</w:t>
            </w:r>
            <w:r>
              <w:rPr>
                <w:rFonts w:hint="eastAsia" w:ascii="宋体" w:hAnsi="宋体" w:cs="仿宋"/>
                <w:szCs w:val="21"/>
                <w:lang w:val="en-US" w:eastAsia="zh-CN"/>
              </w:rPr>
              <w:t>45</w:t>
            </w:r>
            <w:r>
              <w:rPr>
                <w:rFonts w:hint="eastAsia" w:ascii="宋体" w:hAnsi="宋体" w:cs="仿宋"/>
                <w:szCs w:val="21"/>
              </w:rPr>
              <w:t>分；“▲”参数为重要指标，每负偏离一项扣</w:t>
            </w:r>
            <w:r>
              <w:rPr>
                <w:rFonts w:hint="eastAsia" w:ascii="宋体" w:hAnsi="宋体" w:cs="仿宋"/>
                <w:szCs w:val="21"/>
                <w:lang w:val="en-US" w:eastAsia="zh-CN"/>
              </w:rPr>
              <w:t>4</w:t>
            </w:r>
            <w:r>
              <w:rPr>
                <w:rFonts w:hint="eastAsia" w:ascii="宋体" w:hAnsi="宋体" w:cs="仿宋"/>
                <w:szCs w:val="21"/>
              </w:rPr>
              <w:t>分；其余指标每负偏离一项扣</w:t>
            </w:r>
            <w:r>
              <w:rPr>
                <w:rFonts w:hint="eastAsia" w:ascii="宋体" w:hAnsi="宋体" w:cs="仿宋"/>
                <w:szCs w:val="21"/>
                <w:lang w:val="en-US" w:eastAsia="zh-CN"/>
              </w:rPr>
              <w:t>2</w:t>
            </w:r>
            <w:r>
              <w:rPr>
                <w:rFonts w:hint="eastAsia" w:ascii="宋体" w:hAnsi="宋体" w:cs="仿宋"/>
                <w:szCs w:val="21"/>
              </w:rPr>
              <w:t>分，</w:t>
            </w:r>
            <w:r>
              <w:rPr>
                <w:rFonts w:hint="eastAsia" w:ascii="宋体" w:hAnsi="宋体"/>
                <w:bCs/>
                <w:szCs w:val="21"/>
              </w:rPr>
              <w:t>最低0分</w:t>
            </w:r>
            <w:r>
              <w:rPr>
                <w:rFonts w:hint="eastAsia" w:ascii="宋体" w:hAnsi="宋体" w:cs="仿宋"/>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spacing w:line="360" w:lineRule="exact"/>
              <w:jc w:val="left"/>
              <w:rPr>
                <w:rFonts w:ascii="宋体" w:hAnsi="宋体" w:cs="仿宋"/>
                <w:szCs w:val="21"/>
              </w:rPr>
            </w:pPr>
            <w:r>
              <w:rPr>
                <w:rFonts w:hint="eastAsia" w:ascii="宋体" w:hAnsi="宋体"/>
                <w:bCs/>
                <w:szCs w:val="21"/>
              </w:rPr>
              <w:t>以投标文件《技术</w:t>
            </w:r>
            <w:r>
              <w:rPr>
                <w:rFonts w:hint="eastAsia" w:ascii="宋体" w:hAnsi="宋体" w:cs="仿宋"/>
                <w:szCs w:val="21"/>
              </w:rPr>
              <w:t>规格</w:t>
            </w:r>
            <w:r>
              <w:rPr>
                <w:rFonts w:hint="eastAsia" w:ascii="宋体" w:hAnsi="宋体"/>
                <w:bCs/>
                <w:szCs w:val="21"/>
              </w:rPr>
              <w:t>偏离表》为评分依据，投标人</w:t>
            </w:r>
            <w:r>
              <w:rPr>
                <w:rFonts w:hint="eastAsia" w:ascii="宋体" w:hAnsi="宋体" w:cs="仿宋"/>
                <w:szCs w:val="21"/>
              </w:rPr>
              <w:t>按招标文件要求提供相应的证明材料复印件或扫描件加盖投标人公章（原件备查），并注明证明材料在投标文件中的具体位置。未提供有效证明材料或未注明证明材料在投标文件中的具体位置或提供的证明资料显示不符合招标文件要求、模糊不清无法判断或未显示是否满足招标文件参数的，该项技术指标按负偏离处理。</w:t>
            </w:r>
            <w:r>
              <w:rPr>
                <w:rFonts w:hint="eastAsia" w:ascii="宋体" w:hAnsi="宋体"/>
                <w:szCs w:val="21"/>
              </w:rPr>
              <w:t>对于不同货物的技术要求中的相同项不满足时按一项不满足进行扣分，不对某一项技术要求重复扣分。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66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spacing w:line="360" w:lineRule="exact"/>
              <w:jc w:val="center"/>
              <w:rPr>
                <w:rFonts w:ascii="宋体" w:hAnsi="宋体" w:cs="仿宋"/>
                <w:szCs w:val="21"/>
              </w:rPr>
            </w:pPr>
            <w:r>
              <w:rPr>
                <w:rFonts w:hint="eastAsia" w:ascii="宋体" w:hAnsi="宋体" w:cs="宋体"/>
                <w:kern w:val="0"/>
                <w:szCs w:val="21"/>
              </w:rPr>
              <w:t>技术保障措施</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3</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jc w:val="left"/>
              <w:rPr>
                <w:rFonts w:ascii="宋体" w:hAnsi="宋体" w:cs="仿宋"/>
                <w:szCs w:val="21"/>
              </w:rPr>
            </w:pPr>
            <w:r>
              <w:rPr>
                <w:rFonts w:hint="eastAsia" w:ascii="宋体" w:hAnsi="宋体" w:cs="仿宋"/>
                <w:szCs w:val="21"/>
              </w:rPr>
              <w:t>投标人</w:t>
            </w:r>
            <w:r>
              <w:rPr>
                <w:rFonts w:ascii="宋体" w:hAnsi="宋体" w:cs="仿宋"/>
                <w:szCs w:val="21"/>
              </w:rPr>
              <w:t>在投标文件中详细说明</w:t>
            </w:r>
            <w:r>
              <w:rPr>
                <w:rFonts w:hint="eastAsia" w:ascii="宋体" w:hAnsi="宋体" w:cs="仿宋"/>
                <w:szCs w:val="21"/>
              </w:rPr>
              <w:t>技术</w:t>
            </w:r>
            <w:r>
              <w:rPr>
                <w:rFonts w:ascii="宋体" w:hAnsi="宋体" w:cs="仿宋"/>
                <w:szCs w:val="21"/>
              </w:rPr>
              <w:t>保障措施（</w:t>
            </w:r>
            <w:r>
              <w:rPr>
                <w:rFonts w:hint="eastAsia" w:ascii="宋体" w:hAnsi="宋体" w:cs="宋体"/>
                <w:szCs w:val="21"/>
              </w:rPr>
              <w:t>包括但不限于技术团队和技术方案</w:t>
            </w:r>
            <w:r>
              <w:rPr>
                <w:rFonts w:ascii="宋体" w:hAnsi="宋体" w:cs="仿宋"/>
                <w:szCs w:val="21"/>
              </w:rPr>
              <w:t>）</w:t>
            </w:r>
            <w:r>
              <w:rPr>
                <w:rFonts w:hint="eastAsia" w:ascii="宋体" w:hAnsi="宋体" w:cs="仿宋"/>
                <w:szCs w:val="21"/>
              </w:rPr>
              <w:t>，根据响应情况进行评审：</w:t>
            </w:r>
          </w:p>
          <w:p>
            <w:pPr>
              <w:spacing w:line="360" w:lineRule="exact"/>
              <w:jc w:val="left"/>
              <w:rPr>
                <w:rFonts w:ascii="宋体" w:hAnsi="宋体" w:cs="仿宋"/>
                <w:szCs w:val="21"/>
              </w:rPr>
            </w:pPr>
            <w:r>
              <w:rPr>
                <w:rFonts w:hint="eastAsia" w:ascii="宋体" w:hAnsi="宋体" w:cs="仿宋"/>
                <w:szCs w:val="21"/>
              </w:rPr>
              <w:t>（1）技术方案科学、严谨，</w:t>
            </w:r>
            <w:r>
              <w:rPr>
                <w:rFonts w:hint="eastAsia" w:ascii="宋体" w:hAnsi="宋体"/>
                <w:szCs w:val="21"/>
              </w:rPr>
              <w:t>能有效把控产品质量</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（2）</w:t>
            </w:r>
            <w:r>
              <w:rPr>
                <w:rFonts w:hint="eastAsia" w:ascii="宋体" w:hAnsi="宋体" w:cs="宋体"/>
                <w:color w:val="000000" w:themeColor="text1"/>
                <w:szCs w:val="21"/>
                <w14:textFill>
                  <w14:solidFill>
                    <w14:schemeClr w14:val="tx1"/>
                  </w14:solidFill>
                </w14:textFill>
              </w:rPr>
              <w:t>产品生产规范，符合国家及相关行业要求</w:t>
            </w:r>
            <w:r>
              <w:rPr>
                <w:rFonts w:hint="eastAsia" w:ascii="宋体" w:hAnsi="宋体" w:cs="仿宋"/>
                <w:szCs w:val="21"/>
              </w:rPr>
              <w:t>；</w:t>
            </w:r>
          </w:p>
          <w:p>
            <w:pPr>
              <w:spacing w:line="360" w:lineRule="exact"/>
              <w:jc w:val="left"/>
              <w:rPr>
                <w:rFonts w:ascii="宋体" w:hAnsi="宋体" w:cs="仿宋"/>
                <w:szCs w:val="21"/>
              </w:rPr>
            </w:pPr>
            <w:r>
              <w:rPr>
                <w:rFonts w:hint="eastAsia" w:ascii="宋体" w:hAnsi="宋体" w:cs="仿宋"/>
                <w:szCs w:val="21"/>
              </w:rPr>
              <w:t>（3）</w:t>
            </w:r>
            <w:r>
              <w:rPr>
                <w:rFonts w:hint="eastAsia" w:ascii="宋体" w:hAnsi="宋体" w:cs="宋体"/>
                <w:color w:val="000000" w:themeColor="text1"/>
                <w:szCs w:val="21"/>
                <w14:textFill>
                  <w14:solidFill>
                    <w14:schemeClr w14:val="tx1"/>
                  </w14:solidFill>
                </w14:textFill>
              </w:rPr>
              <w:t>生产及供货进度计划详细、可实施性强</w:t>
            </w:r>
            <w:r>
              <w:rPr>
                <w:rFonts w:hint="eastAsia" w:ascii="宋体" w:hAnsi="宋体" w:cs="仿宋"/>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（二）评分标准：</w:t>
            </w:r>
          </w:p>
          <w:p>
            <w:pPr>
              <w:spacing w:line="360" w:lineRule="exact"/>
              <w:jc w:val="left"/>
              <w:rPr>
                <w:rFonts w:ascii="宋体" w:hAnsi="宋体" w:cs="仿宋"/>
                <w:szCs w:val="21"/>
              </w:rPr>
            </w:pPr>
            <w:r>
              <w:rPr>
                <w:rFonts w:hint="eastAsia" w:ascii="宋体" w:hAnsi="宋体" w:cs="仿宋"/>
                <w:szCs w:val="21"/>
              </w:rPr>
              <w:t>满足以上三项要求得</w:t>
            </w:r>
            <w:r>
              <w:rPr>
                <w:rFonts w:hint="eastAsia" w:ascii="宋体" w:hAnsi="宋体" w:cs="仿宋"/>
                <w:szCs w:val="21"/>
                <w:lang w:val="en-US" w:eastAsia="zh-CN"/>
              </w:rPr>
              <w:t>3</w:t>
            </w:r>
            <w:r>
              <w:rPr>
                <w:rFonts w:hint="eastAsia" w:ascii="宋体" w:hAnsi="宋体" w:cs="仿宋"/>
                <w:szCs w:val="21"/>
              </w:rPr>
              <w:t>分，满足以上两项要求得</w:t>
            </w:r>
            <w:r>
              <w:rPr>
                <w:rFonts w:hint="eastAsia" w:ascii="宋体" w:hAnsi="宋体" w:cs="仿宋"/>
                <w:szCs w:val="21"/>
                <w:lang w:val="en-US" w:eastAsia="zh-CN"/>
              </w:rPr>
              <w:t>2</w:t>
            </w:r>
            <w:r>
              <w:rPr>
                <w:rFonts w:hint="eastAsia" w:ascii="宋体" w:hAnsi="宋体" w:cs="仿宋"/>
                <w:szCs w:val="21"/>
              </w:rPr>
              <w:t>分，满足以上一项要求得</w:t>
            </w:r>
            <w:r>
              <w:rPr>
                <w:rFonts w:hint="eastAsia" w:ascii="宋体" w:hAnsi="宋体" w:cs="仿宋"/>
                <w:szCs w:val="21"/>
                <w:lang w:val="en-US" w:eastAsia="zh-CN"/>
              </w:rPr>
              <w:t>1</w:t>
            </w:r>
            <w:r>
              <w:rPr>
                <w:rFonts w:hint="eastAsia" w:ascii="宋体" w:hAnsi="宋体" w:cs="仿宋"/>
                <w:szCs w:val="21"/>
              </w:rPr>
              <w:t>分，其它情况不得分。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hint="default" w:ascii="宋体" w:hAnsi="宋体" w:eastAsia="宋体" w:cs="仿宋"/>
                <w:b/>
                <w:szCs w:val="21"/>
                <w:lang w:val="en-US" w:eastAsia="zh-CN"/>
              </w:rPr>
            </w:pPr>
            <w:r>
              <w:rPr>
                <w:rFonts w:hint="eastAsia" w:ascii="宋体" w:hAnsi="宋体" w:cs="仿宋"/>
                <w:b/>
                <w:szCs w:val="21"/>
                <w:lang w:val="en-US" w:eastAsia="zh-CN"/>
              </w:rPr>
              <w:t>22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93"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widowControl/>
              <w:spacing w:line="360" w:lineRule="exact"/>
              <w:jc w:val="center"/>
              <w:rPr>
                <w:rFonts w:ascii="宋体" w:hAnsi="宋体" w:cs="仿宋"/>
                <w:kern w:val="0"/>
                <w:szCs w:val="21"/>
              </w:rPr>
            </w:pPr>
            <w:r>
              <w:rPr>
                <w:rFonts w:hint="eastAsia" w:ascii="宋体" w:hAnsi="宋体" w:cs="宋体"/>
                <w:kern w:val="0"/>
                <w:szCs w:val="21"/>
              </w:rPr>
              <w:t>免费保修期内售后服务条款偏离情况</w:t>
            </w:r>
          </w:p>
        </w:tc>
        <w:tc>
          <w:tcPr>
            <w:tcW w:w="709" w:type="dxa"/>
            <w:vAlign w:val="center"/>
          </w:tcPr>
          <w:p>
            <w:pPr>
              <w:widowControl/>
              <w:spacing w:line="360" w:lineRule="exact"/>
              <w:jc w:val="center"/>
              <w:rPr>
                <w:rFonts w:ascii="宋体" w:hAnsi="宋体" w:cs="仿宋"/>
                <w:kern w:val="0"/>
                <w:szCs w:val="21"/>
              </w:rPr>
            </w:pPr>
            <w:r>
              <w:rPr>
                <w:rFonts w:hint="eastAsia" w:ascii="宋体" w:hAnsi="宋体" w:cs="仿宋"/>
                <w:kern w:val="0"/>
                <w:szCs w:val="21"/>
              </w:rPr>
              <w:t>5</w:t>
            </w:r>
          </w:p>
        </w:tc>
        <w:tc>
          <w:tcPr>
            <w:tcW w:w="5953" w:type="dxa"/>
            <w:vAlign w:val="center"/>
          </w:tcPr>
          <w:p>
            <w:pPr>
              <w:autoSpaceDE w:val="0"/>
              <w:autoSpaceDN w:val="0"/>
              <w:adjustRightInd w:val="0"/>
              <w:spacing w:line="360" w:lineRule="exact"/>
              <w:jc w:val="left"/>
              <w:rPr>
                <w:rFonts w:ascii="宋体" w:hAnsi="宋体" w:cs="仿宋"/>
                <w:szCs w:val="21"/>
              </w:rPr>
            </w:pPr>
            <w:r>
              <w:rPr>
                <w:rFonts w:hint="eastAsia" w:ascii="宋体" w:hAnsi="宋体" w:cs="仿宋"/>
                <w:szCs w:val="21"/>
              </w:rPr>
              <w:t>投标人应如实填写《商务条款偏离表》，评审委员会根据其中免费保修期内售后服务条款响应情况进行打分。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（1）免费保修期在满足招标要求的基础上，每增加一年得1分，最高得</w:t>
            </w:r>
            <w:r>
              <w:rPr>
                <w:rFonts w:hint="eastAsia" w:ascii="宋体" w:hAnsi="宋体" w:cs="仿宋"/>
                <w:szCs w:val="21"/>
                <w:lang w:val="en-US" w:eastAsia="zh-CN"/>
              </w:rPr>
              <w:t>3</w:t>
            </w:r>
            <w:r>
              <w:rPr>
                <w:rFonts w:hint="eastAsia" w:ascii="宋体" w:hAnsi="宋体" w:cs="仿宋"/>
                <w:szCs w:val="21"/>
              </w:rPr>
              <w:t>分。</w:t>
            </w:r>
          </w:p>
          <w:p>
            <w:pPr>
              <w:autoSpaceDE w:val="0"/>
              <w:autoSpaceDN w:val="0"/>
              <w:adjustRightInd w:val="0"/>
              <w:spacing w:line="360" w:lineRule="exact"/>
              <w:jc w:val="left"/>
              <w:rPr>
                <w:rFonts w:ascii="宋体" w:hAnsi="宋体" w:cs="仿宋"/>
                <w:szCs w:val="21"/>
              </w:rPr>
            </w:pPr>
            <w:r>
              <w:rPr>
                <w:rFonts w:hint="eastAsia" w:ascii="宋体" w:hAnsi="宋体" w:cs="仿宋"/>
                <w:szCs w:val="21"/>
              </w:rPr>
              <w:t>（2）其它要求全部满足的得</w:t>
            </w:r>
            <w:r>
              <w:rPr>
                <w:rFonts w:hint="eastAsia" w:ascii="宋体" w:hAnsi="宋体" w:cs="仿宋"/>
                <w:szCs w:val="21"/>
                <w:lang w:val="en-US" w:eastAsia="zh-CN"/>
              </w:rPr>
              <w:t>2</w:t>
            </w:r>
            <w:r>
              <w:rPr>
                <w:rFonts w:hint="eastAsia" w:ascii="宋体" w:hAnsi="宋体" w:cs="仿宋"/>
                <w:szCs w:val="21"/>
              </w:rPr>
              <w:t>分，否则不得分。</w:t>
            </w:r>
          </w:p>
          <w:p>
            <w:pPr>
              <w:autoSpaceDE w:val="0"/>
              <w:autoSpaceDN w:val="0"/>
              <w:adjustRightInd w:val="0"/>
              <w:spacing w:line="360" w:lineRule="exact"/>
              <w:jc w:val="left"/>
              <w:rPr>
                <w:rFonts w:ascii="宋体" w:hAnsi="宋体" w:cs="仿宋"/>
                <w:szCs w:val="21"/>
                <w:lang w:val="zh-CN"/>
              </w:rPr>
            </w:pPr>
            <w:r>
              <w:rPr>
                <w:rFonts w:hint="eastAsia" w:ascii="宋体" w:hAnsi="宋体" w:cs="仿宋"/>
                <w:szCs w:val="21"/>
              </w:rPr>
              <w:t>以上累计满分为5分。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532"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2</w:t>
            </w:r>
          </w:p>
        </w:tc>
        <w:tc>
          <w:tcPr>
            <w:tcW w:w="1143" w:type="dxa"/>
            <w:vAlign w:val="center"/>
          </w:tcPr>
          <w:p>
            <w:pPr>
              <w:widowControl/>
              <w:spacing w:line="360" w:lineRule="exact"/>
              <w:jc w:val="center"/>
              <w:rPr>
                <w:rFonts w:ascii="宋体" w:hAnsi="宋体" w:cs="宋体"/>
                <w:kern w:val="0"/>
                <w:szCs w:val="21"/>
              </w:rPr>
            </w:pPr>
            <w:r>
              <w:rPr>
                <w:rFonts w:hint="eastAsia" w:ascii="宋体" w:hAnsi="宋体" w:cs="宋体"/>
                <w:kern w:val="0"/>
                <w:szCs w:val="21"/>
              </w:rPr>
              <w:t>免费保修期外售后服务条款偏离情况</w:t>
            </w:r>
          </w:p>
        </w:tc>
        <w:tc>
          <w:tcPr>
            <w:tcW w:w="709" w:type="dxa"/>
            <w:vAlign w:val="center"/>
          </w:tcPr>
          <w:p>
            <w:pPr>
              <w:widowControl/>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8</w:t>
            </w:r>
          </w:p>
        </w:tc>
        <w:tc>
          <w:tcPr>
            <w:tcW w:w="5953" w:type="dxa"/>
            <w:vAlign w:val="center"/>
          </w:tcPr>
          <w:p>
            <w:pPr>
              <w:autoSpaceDE w:val="0"/>
              <w:autoSpaceDN w:val="0"/>
              <w:adjustRightInd w:val="0"/>
              <w:spacing w:line="360" w:lineRule="exact"/>
              <w:jc w:val="left"/>
              <w:rPr>
                <w:rFonts w:ascii="宋体" w:hAnsi="宋体" w:cs="宋体"/>
                <w:kern w:val="0"/>
                <w:szCs w:val="21"/>
              </w:rPr>
            </w:pPr>
            <w:r>
              <w:rPr>
                <w:rFonts w:hint="eastAsia" w:ascii="宋体" w:hAnsi="宋体" w:cs="宋体"/>
                <w:kern w:val="0"/>
                <w:szCs w:val="21"/>
              </w:rPr>
              <w:t>投标人应如实填写《商务条款偏离表》，评审委员会根据其中免费保修期外售后服务条款响应情况进行打分。全部满足要求的得</w:t>
            </w:r>
            <w:r>
              <w:rPr>
                <w:rFonts w:hint="eastAsia" w:ascii="宋体" w:hAnsi="宋体" w:cs="宋体"/>
                <w:kern w:val="0"/>
                <w:szCs w:val="21"/>
                <w:lang w:val="en-US" w:eastAsia="zh-CN"/>
              </w:rPr>
              <w:t>8</w:t>
            </w:r>
            <w:r>
              <w:rPr>
                <w:rFonts w:hint="eastAsia" w:ascii="宋体" w:hAnsi="宋体" w:cs="宋体"/>
                <w:kern w:val="0"/>
                <w:szCs w:val="21"/>
              </w:rPr>
              <w:t>分，</w:t>
            </w:r>
            <w:r>
              <w:rPr>
                <w:rFonts w:hint="eastAsia" w:ascii="宋体" w:hAnsi="宋体" w:cs="宋体"/>
                <w:szCs w:val="21"/>
              </w:rPr>
              <w:t>每1小项负偏离</w:t>
            </w:r>
            <w:r>
              <w:rPr>
                <w:rFonts w:hint="eastAsia" w:ascii="宋体" w:hAnsi="宋体" w:cs="宋体"/>
                <w:kern w:val="0"/>
                <w:szCs w:val="21"/>
              </w:rPr>
              <w:t>扣</w:t>
            </w:r>
            <w:r>
              <w:rPr>
                <w:rFonts w:hint="eastAsia" w:ascii="宋体" w:hAnsi="宋体" w:cs="宋体"/>
                <w:kern w:val="0"/>
                <w:szCs w:val="21"/>
                <w:lang w:val="en-US" w:eastAsia="zh-CN"/>
              </w:rPr>
              <w:t>2</w:t>
            </w:r>
            <w:r>
              <w:rPr>
                <w:rFonts w:hint="eastAsia" w:ascii="宋体" w:hAnsi="宋体" w:cs="宋体"/>
                <w:kern w:val="0"/>
                <w:szCs w:val="21"/>
              </w:rPr>
              <w:t>分，</w:t>
            </w:r>
            <w:r>
              <w:rPr>
                <w:rFonts w:hint="eastAsia" w:ascii="宋体" w:hAnsi="宋体" w:cs="仿宋"/>
                <w:szCs w:val="21"/>
              </w:rPr>
              <w:t>最低得0分</w:t>
            </w:r>
            <w:r>
              <w:rPr>
                <w:rFonts w:hint="eastAsia" w:ascii="宋体" w:hAnsi="宋体" w:cs="宋体"/>
                <w:kern w:val="0"/>
                <w:szCs w:val="21"/>
              </w:rPr>
              <w:t>。</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26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spacing w:line="360" w:lineRule="exact"/>
              <w:jc w:val="center"/>
              <w:rPr>
                <w:rFonts w:ascii="宋体" w:hAnsi="宋体" w:cs="仿宋"/>
                <w:szCs w:val="21"/>
              </w:rPr>
            </w:pPr>
            <w:r>
              <w:rPr>
                <w:rFonts w:hint="eastAsia"/>
              </w:rPr>
              <w:t>其他商务条款偏离情况</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2</w:t>
            </w:r>
          </w:p>
        </w:tc>
        <w:tc>
          <w:tcPr>
            <w:tcW w:w="5953" w:type="dxa"/>
            <w:vAlign w:val="center"/>
          </w:tcPr>
          <w:p>
            <w:pPr>
              <w:widowControl/>
              <w:spacing w:line="360" w:lineRule="exact"/>
              <w:rPr>
                <w:rFonts w:ascii="宋体" w:hAnsi="宋体" w:cs="仿宋"/>
                <w:szCs w:val="21"/>
              </w:rPr>
            </w:pPr>
            <w:r>
              <w:rPr>
                <w:rFonts w:hint="eastAsia" w:ascii="宋体" w:hAnsi="宋体" w:cs="仿宋"/>
                <w:szCs w:val="21"/>
              </w:rPr>
              <w:t>投标人应如实填写《商务条款偏离表》，评审委员会根据其中其他商务条款响应情况进行打分。全部满足要求的得2分，</w:t>
            </w:r>
            <w:r>
              <w:rPr>
                <w:rFonts w:hint="eastAsia" w:ascii="宋体" w:hAnsi="宋体" w:cs="宋体"/>
                <w:szCs w:val="21"/>
              </w:rPr>
              <w:t>每1小项负偏离</w:t>
            </w:r>
            <w:r>
              <w:rPr>
                <w:rFonts w:hint="eastAsia" w:ascii="宋体" w:hAnsi="宋体" w:cs="仿宋"/>
                <w:szCs w:val="21"/>
              </w:rPr>
              <w:t>扣</w:t>
            </w:r>
            <w:r>
              <w:rPr>
                <w:rFonts w:ascii="宋体" w:hAnsi="宋体" w:cs="仿宋"/>
                <w:szCs w:val="21"/>
              </w:rPr>
              <w:t>1</w:t>
            </w:r>
            <w:r>
              <w:rPr>
                <w:rFonts w:hint="eastAsia" w:ascii="宋体" w:hAnsi="宋体" w:cs="仿宋"/>
                <w:szCs w:val="21"/>
              </w:rPr>
              <w:t>分，最低得0分。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93"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4</w:t>
            </w:r>
          </w:p>
        </w:tc>
        <w:tc>
          <w:tcPr>
            <w:tcW w:w="1143" w:type="dxa"/>
            <w:vAlign w:val="center"/>
          </w:tcPr>
          <w:p>
            <w:pPr>
              <w:spacing w:line="360" w:lineRule="exact"/>
              <w:jc w:val="center"/>
              <w:rPr>
                <w:rFonts w:hint="eastAsia" w:ascii="宋体" w:hAnsi="宋体" w:eastAsia="宋体" w:cs="仿宋"/>
                <w:szCs w:val="21"/>
                <w:lang w:eastAsia="zh-CN"/>
              </w:rPr>
            </w:pPr>
            <w:r>
              <w:rPr>
                <w:rFonts w:hint="eastAsia" w:ascii="宋体" w:hAnsi="宋体"/>
                <w:szCs w:val="21"/>
              </w:rPr>
              <w:t>履约</w:t>
            </w:r>
            <w:r>
              <w:rPr>
                <w:rFonts w:hint="eastAsia" w:ascii="宋体" w:hAnsi="宋体"/>
                <w:szCs w:val="21"/>
                <w:lang w:eastAsia="zh-CN"/>
              </w:rPr>
              <w:t>情况</w:t>
            </w:r>
          </w:p>
        </w:tc>
        <w:tc>
          <w:tcPr>
            <w:tcW w:w="709" w:type="dxa"/>
            <w:vAlign w:val="center"/>
          </w:tcPr>
          <w:p>
            <w:pPr>
              <w:spacing w:line="360" w:lineRule="exact"/>
              <w:jc w:val="center"/>
              <w:rPr>
                <w:rFonts w:hint="eastAsia" w:ascii="宋体" w:hAnsi="宋体" w:eastAsia="宋体" w:cs="仿宋"/>
                <w:szCs w:val="21"/>
                <w:lang w:eastAsia="zh-CN"/>
              </w:rPr>
            </w:pPr>
            <w:r>
              <w:rPr>
                <w:rFonts w:hint="eastAsia" w:ascii="宋体" w:hAnsi="宋体" w:cs="仿宋"/>
                <w:szCs w:val="21"/>
                <w:lang w:val="en-US" w:eastAsia="zh-CN"/>
              </w:rPr>
              <w:t>2</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spacing w:line="360" w:lineRule="exact"/>
              <w:rPr>
                <w:rFonts w:hint="eastAsia" w:ascii="宋体" w:hAnsi="宋体" w:cs="宋体"/>
                <w:szCs w:val="21"/>
              </w:rPr>
            </w:pPr>
            <w:r>
              <w:rPr>
                <w:rFonts w:hint="eastAsia" w:ascii="宋体" w:hAnsi="宋体" w:cs="宋体"/>
                <w:szCs w:val="21"/>
              </w:rPr>
              <w:t>投标人</w:t>
            </w:r>
            <w:r>
              <w:rPr>
                <w:rFonts w:hint="eastAsia" w:ascii="宋体" w:hAnsi="宋体"/>
                <w:szCs w:val="21"/>
              </w:rPr>
              <w:t>承诺</w:t>
            </w:r>
            <w:r>
              <w:rPr>
                <w:rFonts w:hint="eastAsia" w:ascii="宋体" w:hAnsi="宋体" w:cs="宋体"/>
                <w:szCs w:val="21"/>
              </w:rPr>
              <w:t>近三年（2019年</w:t>
            </w:r>
            <w:r>
              <w:rPr>
                <w:rFonts w:hint="eastAsia" w:ascii="宋体" w:hAnsi="宋体" w:cs="宋体"/>
                <w:szCs w:val="21"/>
                <w:lang w:val="en-US" w:eastAsia="zh-CN"/>
              </w:rPr>
              <w:t>11</w:t>
            </w:r>
            <w:r>
              <w:rPr>
                <w:rFonts w:hint="eastAsia" w:ascii="宋体" w:hAnsi="宋体" w:cs="宋体"/>
                <w:szCs w:val="21"/>
              </w:rPr>
              <w:t>月1日至本项目投标截止日）</w:t>
            </w:r>
            <w:r>
              <w:rPr>
                <w:rFonts w:hint="eastAsia"/>
              </w:rPr>
              <w:t>在政府采购活动中</w:t>
            </w:r>
            <w:r>
              <w:rPr>
                <w:rFonts w:hint="eastAsia" w:ascii="宋体" w:hAnsi="宋体" w:cs="宋体"/>
                <w:szCs w:val="21"/>
                <w:lang w:val="en-US" w:eastAsia="zh-CN"/>
              </w:rPr>
              <w:t>没有</w:t>
            </w:r>
            <w:r>
              <w:rPr>
                <w:rFonts w:hint="eastAsia" w:ascii="宋体" w:hAnsi="宋体" w:cs="宋体"/>
                <w:szCs w:val="21"/>
              </w:rPr>
              <w:t>履约评价为差的记录</w:t>
            </w:r>
            <w:r>
              <w:rPr>
                <w:rFonts w:hint="eastAsia" w:ascii="宋体" w:hAnsi="宋体" w:cs="宋体"/>
                <w:szCs w:val="21"/>
                <w:lang w:val="en-US" w:eastAsia="zh-CN"/>
              </w:rPr>
              <w:t>的，</w:t>
            </w:r>
            <w:r>
              <w:rPr>
                <w:rFonts w:hint="eastAsia" w:ascii="宋体" w:hAnsi="宋体" w:cs="宋体"/>
                <w:szCs w:val="21"/>
              </w:rPr>
              <w:t>得</w:t>
            </w:r>
            <w:r>
              <w:rPr>
                <w:rFonts w:hint="eastAsia" w:ascii="宋体" w:hAnsi="宋体" w:cs="宋体"/>
                <w:szCs w:val="21"/>
                <w:lang w:val="en-US" w:eastAsia="zh-CN"/>
              </w:rPr>
              <w:t>2</w:t>
            </w:r>
            <w:r>
              <w:rPr>
                <w:rFonts w:hint="eastAsia" w:ascii="宋体" w:hAnsi="宋体" w:cs="宋体"/>
                <w:szCs w:val="21"/>
              </w:rPr>
              <w:t>分</w:t>
            </w:r>
            <w:r>
              <w:rPr>
                <w:rFonts w:hint="eastAsia" w:ascii="宋体" w:hAnsi="宋体" w:cs="宋体"/>
                <w:szCs w:val="21"/>
                <w:lang w:eastAsia="zh-CN"/>
              </w:rPr>
              <w:t>，</w:t>
            </w:r>
            <w:r>
              <w:rPr>
                <w:rFonts w:hint="eastAsia" w:ascii="宋体" w:hAnsi="宋体" w:cs="宋体"/>
                <w:szCs w:val="21"/>
                <w:lang w:val="en-US" w:eastAsia="zh-CN"/>
              </w:rPr>
              <w:t>否则不得分</w:t>
            </w:r>
            <w:r>
              <w:rPr>
                <w:rFonts w:hint="eastAsia" w:ascii="宋体" w:hAnsi="宋体" w:cs="宋体"/>
                <w:szCs w:val="21"/>
              </w:rPr>
              <w:t>。</w:t>
            </w:r>
          </w:p>
          <w:p>
            <w:pPr>
              <w:spacing w:line="360" w:lineRule="exact"/>
              <w:rPr>
                <w:rFonts w:hint="eastAsia" w:asciiTheme="minorEastAsia" w:hAnsiTheme="minorEastAsia" w:eastAsiaTheme="minorEastAsia"/>
                <w:szCs w:val="21"/>
              </w:rPr>
            </w:pPr>
          </w:p>
          <w:p>
            <w:pPr>
              <w:spacing w:line="360" w:lineRule="exact"/>
              <w:rPr>
                <w:rFonts w:asciiTheme="minorEastAsia" w:hAnsiTheme="minorEastAsia" w:eastAsiaTheme="minorEastAsia"/>
                <w:szCs w:val="21"/>
              </w:rPr>
            </w:pPr>
            <w:r>
              <w:rPr>
                <w:rFonts w:hint="eastAsia" w:ascii="宋体" w:hAnsi="宋体"/>
                <w:kern w:val="0"/>
                <w:szCs w:val="21"/>
              </w:rPr>
              <w:t>（二）评分依据：</w:t>
            </w:r>
          </w:p>
          <w:p>
            <w:pPr>
              <w:tabs>
                <w:tab w:val="left" w:pos="175"/>
              </w:tabs>
              <w:spacing w:line="360" w:lineRule="exact"/>
              <w:ind w:left="33"/>
              <w:jc w:val="left"/>
              <w:rPr>
                <w:rFonts w:ascii="宋体" w:hAnsi="宋体"/>
                <w:szCs w:val="21"/>
              </w:rPr>
            </w:pPr>
            <w:r>
              <w:rPr>
                <w:rFonts w:hint="eastAsia" w:ascii="宋体" w:hAnsi="宋体"/>
                <w:szCs w:val="21"/>
              </w:rPr>
              <w:t>投标人提供《</w:t>
            </w:r>
            <w:r>
              <w:rPr>
                <w:rFonts w:hint="eastAsia" w:ascii="宋体" w:hAnsi="宋体" w:cs="宋体"/>
                <w:szCs w:val="21"/>
              </w:rPr>
              <w:t>履约评价情况</w:t>
            </w:r>
            <w:r>
              <w:rPr>
                <w:rFonts w:hint="eastAsia" w:ascii="宋体" w:hAnsi="宋体"/>
                <w:szCs w:val="21"/>
              </w:rPr>
              <w:t>承诺函》（格式自拟）作为得分依据。如若投标人承诺与实际情况不相符，将按虚假应标报相关主管部门处理。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37" w:hRule="atLeast"/>
          <w:jc w:val="center"/>
        </w:trPr>
        <w:tc>
          <w:tcPr>
            <w:tcW w:w="754" w:type="dxa"/>
            <w:vAlign w:val="center"/>
          </w:tcPr>
          <w:p>
            <w:pPr>
              <w:autoSpaceDE w:val="0"/>
              <w:autoSpaceDN w:val="0"/>
              <w:adjustRightInd w:val="0"/>
              <w:spacing w:line="360" w:lineRule="exact"/>
              <w:jc w:val="center"/>
              <w:rPr>
                <w:rFonts w:hint="eastAsia" w:ascii="宋体" w:hAnsi="宋体" w:eastAsia="宋体" w:cs="仿宋"/>
                <w:szCs w:val="21"/>
                <w:lang w:val="zh-CN" w:eastAsia="zh-CN"/>
              </w:rPr>
            </w:pPr>
            <w:r>
              <w:rPr>
                <w:rFonts w:hint="eastAsia" w:ascii="宋体" w:hAnsi="宋体" w:cs="仿宋"/>
                <w:szCs w:val="21"/>
                <w:lang w:val="en-US" w:eastAsia="zh-CN"/>
              </w:rPr>
              <w:t>5</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hint="eastAsia" w:ascii="宋体" w:hAnsi="宋体"/>
                <w:kern w:val="0"/>
                <w:szCs w:val="21"/>
              </w:rPr>
            </w:pP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4"/>
        <w:spacing w:before="0" w:after="0"/>
        <w:jc w:val="left"/>
        <w:rPr>
          <w:rFonts w:asciiTheme="minorEastAsia" w:hAnsiTheme="minorEastAsia"/>
          <w:bCs w:val="0"/>
          <w:sz w:val="21"/>
          <w:szCs w:val="21"/>
        </w:rPr>
      </w:pPr>
      <w:bookmarkStart w:id="10" w:name="_Toc44690430"/>
      <w:bookmarkStart w:id="11" w:name="_Toc110410291"/>
      <w:bookmarkStart w:id="12" w:name="_Toc44691162"/>
      <w:bookmarkStart w:id="13" w:name="_Toc44690703"/>
      <w:bookmarkStart w:id="14" w:name="_Toc44691394"/>
      <w:r>
        <w:rPr>
          <w:rFonts w:hint="eastAsia" w:asciiTheme="minorEastAsia" w:hAnsiTheme="minorEastAsia"/>
          <w:bCs w:val="0"/>
          <w:sz w:val="21"/>
          <w:szCs w:val="21"/>
        </w:rPr>
        <w:t>备注：</w:t>
      </w:r>
      <w:bookmarkEnd w:id="10"/>
      <w:bookmarkEnd w:id="11"/>
      <w:bookmarkEnd w:id="12"/>
      <w:bookmarkEnd w:id="13"/>
      <w:bookmarkEnd w:id="14"/>
    </w:p>
    <w:p>
      <w:pPr>
        <w:pStyle w:val="2"/>
        <w:spacing w:before="0" w:after="0"/>
      </w:pPr>
      <w:bookmarkStart w:id="15" w:name="_Toc110410292"/>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2"/>
        <w:spacing w:before="0" w:after="0"/>
        <w:rPr>
          <w:rFonts w:asciiTheme="minorEastAsia" w:hAnsiTheme="minorEastAsia" w:eastAsiaTheme="minorEastAsia"/>
        </w:rPr>
      </w:pPr>
      <w:bookmarkStart w:id="16" w:name="_Toc110410293"/>
      <w:r>
        <w:rPr>
          <w:rFonts w:hint="eastAsia" w:asciiTheme="minorEastAsia" w:hAnsiTheme="minorEastAsia" w:eastAsiaTheme="minorEastAsia"/>
        </w:rPr>
        <w:t>2、政府采购扶持政策</w:t>
      </w:r>
      <w:bookmarkEnd w:id="16"/>
    </w:p>
    <w:p>
      <w:pPr>
        <w:adjustRightInd w:val="0"/>
        <w:snapToGrid w:val="0"/>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adjustRightInd w:val="0"/>
        <w:snapToGrid w:val="0"/>
        <w:spacing w:line="360" w:lineRule="auto"/>
        <w:ind w:firstLine="426" w:firstLineChars="202"/>
        <w:rPr>
          <w:rFonts w:asciiTheme="minorEastAsia" w:hAnsiTheme="minorEastAsia" w:eastAsiaTheme="minorEastAsia"/>
          <w:szCs w:val="21"/>
        </w:rPr>
      </w:pPr>
      <w:r>
        <w:rPr>
          <w:rFonts w:hint="eastAsia" w:ascii="宋体" w:hAnsi="宋体"/>
          <w:b/>
          <w:szCs w:val="21"/>
          <w:highlight w:val="yellow"/>
        </w:rPr>
        <w:t>本项目所属行业为</w:t>
      </w:r>
      <w:r>
        <w:rPr>
          <w:rFonts w:hint="eastAsia" w:ascii="宋体" w:hAnsi="宋体"/>
          <w:b/>
          <w:szCs w:val="21"/>
          <w:highlight w:val="yellow"/>
          <w:u w:val="single"/>
        </w:rPr>
        <w:t xml:space="preserve">  工业  </w:t>
      </w:r>
      <w:r>
        <w:rPr>
          <w:rFonts w:hint="eastAsia" w:ascii="宋体" w:hAnsi="宋体"/>
          <w:b/>
          <w:szCs w:val="21"/>
          <w:highlight w:val="yellow"/>
        </w:rPr>
        <w:t>。</w:t>
      </w:r>
      <w:r>
        <w:rPr>
          <w:rFonts w:hint="eastAsia" w:ascii="宋体" w:hAnsi="宋体"/>
          <w:szCs w:val="21"/>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adjustRightInd w:val="0"/>
        <w:snapToGrid w:val="0"/>
        <w:spacing w:line="360" w:lineRule="auto"/>
        <w:ind w:firstLine="424" w:firstLineChars="202"/>
        <w:rPr>
          <w:rFonts w:asciiTheme="minorEastAsia" w:hAnsiTheme="minorEastAsia" w:eastAsiaTheme="minorEastAsia"/>
          <w:szCs w:val="21"/>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本章政府采购扶持政策第一款</w:t>
      </w:r>
      <w:r>
        <w:rPr>
          <w:rFonts w:hint="eastAsia" w:asciiTheme="minorEastAsia" w:hAnsiTheme="minorEastAsia" w:eastAsiaTheme="minorEastAsia"/>
        </w:rPr>
        <w:t>的优惠政策。</w:t>
      </w:r>
    </w:p>
    <w:p>
      <w:pPr>
        <w:spacing w:line="360" w:lineRule="auto"/>
        <w:ind w:firstLine="424" w:firstLineChars="202"/>
        <w:jc w:val="left"/>
        <w:rPr>
          <w:rFonts w:asciiTheme="minorEastAsia" w:hAnsiTheme="minorEastAsia" w:eastAsiaTheme="minorEastAsia"/>
        </w:rPr>
      </w:pPr>
      <w:r>
        <w:rPr>
          <w:rFonts w:hint="eastAsia" w:asciiTheme="minorEastAsia" w:hAnsiTheme="minorEastAsia" w:eastAsiaTheme="minorEastAsia"/>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rPr>
        <w:t>（4）投标产品属于《关于调整优化节能产品环境标志产品政府采购执行机制的通知》（财库〔2019〕9号）、《关于印发环境标志产品政府采购品目清单的通知》（财库〔2019〕18号）和《关于印发节能产品</w:t>
      </w:r>
      <w:r>
        <w:rPr>
          <w:rFonts w:hint="eastAsia" w:asciiTheme="minorEastAsia" w:hAnsiTheme="minorEastAsia" w:eastAsiaTheme="minorEastAsia"/>
          <w:szCs w:val="21"/>
        </w:rPr>
        <w:t>政府采购品目清单的通知》（财库〔2019〕19号）品目清单范围内的，</w:t>
      </w:r>
      <w:r>
        <w:rPr>
          <w:rFonts w:hint="eastAsia" w:asciiTheme="minorEastAsia" w:hAnsiTheme="minorEastAsia" w:eastAsiaTheme="minorEastAsia"/>
        </w:rPr>
        <w:t>应依据国家确定的认证机构出具的、处于有效期之内的节能产品、环境标志产品认证证书，对获得证书的产品实施政府优先采购或强制采购。</w:t>
      </w:r>
      <w:r>
        <w:rPr>
          <w:rFonts w:hint="eastAsia" w:asciiTheme="minorEastAsia" w:hAnsiTheme="minorEastAsia" w:eastAsiaTheme="minorEastAsia"/>
          <w:b/>
        </w:rPr>
        <w:t>对符合条件的获证产品（强制采购产品除外）</w:t>
      </w:r>
      <w:r>
        <w:rPr>
          <w:rFonts w:hint="eastAsia" w:asciiTheme="minorEastAsia" w:hAnsiTheme="minorEastAsia" w:eastAsiaTheme="minorEastAsia"/>
          <w:b/>
          <w:szCs w:val="21"/>
        </w:rPr>
        <w:t>，根据该投标产品报价给予</w:t>
      </w:r>
      <w:r>
        <w:rPr>
          <w:rFonts w:hint="eastAsia" w:asciiTheme="minorEastAsia" w:hAnsiTheme="minorEastAsia" w:eastAsiaTheme="minorEastAsia"/>
          <w:b/>
          <w:szCs w:val="21"/>
          <w:u w:val="single"/>
        </w:rPr>
        <w:t xml:space="preserve"> 1 </w:t>
      </w:r>
      <w:r>
        <w:rPr>
          <w:rFonts w:hint="eastAsia" w:asciiTheme="minorEastAsia" w:hAnsiTheme="minorEastAsia" w:eastAsiaTheme="minorEastAsia"/>
          <w:b/>
          <w:szCs w:val="21"/>
        </w:rPr>
        <w:t>%的价格扣除，用扣除后的价格参与评审</w:t>
      </w:r>
      <w:r>
        <w:rPr>
          <w:rFonts w:hint="eastAsia" w:asciiTheme="minorEastAsia" w:hAnsiTheme="minorEastAsia" w:eastAsiaTheme="minorEastAsia"/>
          <w:szCs w:val="21"/>
        </w:rPr>
        <w:t>（需按投标文件格式部分“列入政府优先采购清单的投标产品一览表”的要求提供证明材料，否则不予价格扣除）。</w:t>
      </w:r>
    </w:p>
    <w:p>
      <w:pPr>
        <w:spacing w:line="360" w:lineRule="auto"/>
        <w:ind w:firstLine="424" w:firstLineChars="202"/>
        <w:jc w:val="left"/>
        <w:rPr>
          <w:rFonts w:asciiTheme="minorEastAsia" w:hAnsiTheme="minorEastAsia" w:eastAsiaTheme="minorEastAsia"/>
          <w:szCs w:val="21"/>
        </w:rPr>
      </w:pPr>
      <w:r>
        <w:rPr>
          <w:rFonts w:hint="eastAsia" w:asciiTheme="minorEastAsia" w:hAnsiTheme="minorEastAsia" w:eastAsiaTheme="minorEastAsia"/>
          <w:szCs w:val="21"/>
        </w:rPr>
        <w:t>（5）</w:t>
      </w:r>
      <w:r>
        <w:rPr>
          <w:rFonts w:hint="eastAsia" w:asciiTheme="minorEastAsia" w:hAnsiTheme="minorEastAsia" w:eastAsiaTheme="minorEastAsia"/>
        </w:rPr>
        <w:t>为缓解中小企业融资难题，深圳市推出政府采购订单融资改革举措。订单融资具体流程及试点金融机构订单融资服务承诺可参阅深圳市政府采购监管网（zfcg.sz.gov.cn）政府采购订单融资栏目</w:t>
      </w:r>
      <w:r>
        <w:rPr>
          <w:rFonts w:hint="eastAsia" w:asciiTheme="minorEastAsia" w:hAnsiTheme="minorEastAsia" w:eastAsiaTheme="minorEastAsia"/>
          <w:szCs w:val="21"/>
        </w:rPr>
        <w:t>。</w:t>
      </w:r>
    </w:p>
    <w:p>
      <w:pPr>
        <w:spacing w:line="360" w:lineRule="auto"/>
        <w:ind w:firstLine="424" w:firstLineChars="202"/>
        <w:jc w:val="left"/>
        <w:rPr>
          <w:rFonts w:asciiTheme="minorEastAsia" w:hAnsiTheme="minorEastAsia" w:eastAsiaTheme="minorEastAsia"/>
          <w:szCs w:val="21"/>
        </w:rPr>
      </w:pPr>
    </w:p>
    <w:p/>
    <w:p>
      <w:pPr>
        <w:widowControl/>
        <w:jc w:val="left"/>
        <w:rPr>
          <w:sz w:val="32"/>
        </w:rPr>
      </w:pPr>
      <w:r>
        <w:rPr>
          <w:rFonts w:eastAsiaTheme="minorEastAsia"/>
          <w:b/>
          <w:kern w:val="44"/>
          <w:sz w:val="32"/>
          <w:szCs w:val="28"/>
        </w:rPr>
        <w:br w:type="page"/>
      </w:r>
    </w:p>
    <w:p>
      <w:pPr>
        <w:widowControl/>
        <w:jc w:val="left"/>
        <w:rPr>
          <w:rFonts w:eastAsiaTheme="minorEastAsia"/>
          <w:b/>
          <w:kern w:val="44"/>
          <w:sz w:val="32"/>
          <w:szCs w:val="28"/>
        </w:rPr>
      </w:pPr>
    </w:p>
    <w:p>
      <w:pPr>
        <w:pStyle w:val="3"/>
        <w:spacing w:beforeLines="50"/>
      </w:pPr>
      <w:bookmarkStart w:id="17" w:name="_Toc110410294"/>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rPr>
                <w:rFonts w:hint="eastAsia" w:eastAsia="宋体"/>
                <w:lang w:eastAsia="zh-CN"/>
              </w:rPr>
            </w:pPr>
            <w:r>
              <w:rPr>
                <w:rFonts w:hint="eastAsia" w:asciiTheme="minorEastAsia" w:hAnsiTheme="minorEastAsia" w:eastAsiaTheme="minorEastAsia"/>
                <w:lang w:eastAsia="zh-CN"/>
              </w:rPr>
              <w:t>荧光定量PCR仪</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ascii="宋体" w:hAnsi="宋体" w:eastAsia="宋体"/>
                <w:snapToGrid w:val="0"/>
                <w:color w:val="auto"/>
                <w:sz w:val="21"/>
                <w:szCs w:val="21"/>
              </w:rPr>
              <w:t>深圳市中医院</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60" w:lineRule="auto"/>
              <w:rPr>
                <w:rFonts w:hAnsi="宋体"/>
                <w:szCs w:val="21"/>
              </w:rPr>
            </w:pPr>
            <w:r>
              <w:rPr>
                <w:rFonts w:hint="eastAsia" w:hAnsi="宋体"/>
                <w:szCs w:val="21"/>
              </w:rPr>
              <w:t>详见《第一章 投标邀请》“申请人的资格要求”</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正本1份，副本</w:t>
            </w:r>
            <w:r>
              <w:rPr>
                <w:rFonts w:hint="eastAsia" w:asciiTheme="minorEastAsia" w:hAnsiTheme="minorEastAsia" w:eastAsiaTheme="minorEastAsia"/>
              </w:rPr>
              <w:t>5</w:t>
            </w:r>
            <w:r>
              <w:rPr>
                <w:rFonts w:asciiTheme="minorEastAsia" w:hAnsiTheme="minorEastAsia" w:eastAsiaTheme="minorEastAsia"/>
              </w:rPr>
              <w:t>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25</w:t>
            </w:r>
            <w:r>
              <w:rPr>
                <w:rFonts w:hint="eastAsia" w:hAnsi="宋体"/>
                <w:b/>
                <w:snapToGrid w:val="0"/>
                <w:szCs w:val="18"/>
              </w:rPr>
              <w:t>日</w:t>
            </w:r>
            <w:r>
              <w:rPr>
                <w:rFonts w:hint="eastAsia" w:hAnsi="宋体"/>
                <w:b/>
                <w:snapToGrid w:val="0"/>
                <w:szCs w:val="18"/>
                <w:lang w:val="en-US" w:eastAsia="zh-CN"/>
              </w:rPr>
              <w:t>15</w:t>
            </w:r>
            <w:r>
              <w:rPr>
                <w:rFonts w:hint="eastAsia" w:hAnsi="宋体"/>
                <w:b/>
                <w:snapToGrid w:val="0"/>
                <w:szCs w:val="18"/>
              </w:rPr>
              <w:t>点</w:t>
            </w:r>
            <w:r>
              <w:rPr>
                <w:rFonts w:hint="eastAsia" w:hAnsi="宋体"/>
                <w:b/>
                <w:snapToGrid w:val="0"/>
                <w:szCs w:val="18"/>
                <w:lang w:val="en-US" w:eastAsia="zh-CN"/>
              </w:rPr>
              <w:t>0</w:t>
            </w:r>
            <w:r>
              <w:rPr>
                <w:rFonts w:hint="eastAsia" w:hAnsi="宋体"/>
                <w:b/>
                <w:snapToGrid w:val="0"/>
                <w:szCs w:val="18"/>
              </w:rPr>
              <w:t>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11</w:t>
            </w:r>
            <w:r>
              <w:rPr>
                <w:rFonts w:hint="eastAsia" w:hAnsi="宋体"/>
                <w:b/>
                <w:snapToGrid w:val="0"/>
                <w:szCs w:val="18"/>
              </w:rPr>
              <w:t>月</w:t>
            </w:r>
            <w:r>
              <w:rPr>
                <w:rFonts w:hint="eastAsia" w:hAnsi="宋体"/>
                <w:b/>
                <w:snapToGrid w:val="0"/>
                <w:szCs w:val="18"/>
                <w:lang w:val="en-US" w:eastAsia="zh-CN"/>
              </w:rPr>
              <w:t>25</w:t>
            </w:r>
            <w:r>
              <w:rPr>
                <w:rFonts w:hint="eastAsia" w:hAnsi="宋体"/>
                <w:b/>
                <w:snapToGrid w:val="0"/>
                <w:szCs w:val="18"/>
              </w:rPr>
              <w:t>日</w:t>
            </w:r>
            <w:r>
              <w:rPr>
                <w:rFonts w:hint="eastAsia" w:hAnsi="宋体"/>
                <w:b/>
                <w:snapToGrid w:val="0"/>
                <w:szCs w:val="18"/>
                <w:lang w:val="en-US" w:eastAsia="zh-CN"/>
              </w:rPr>
              <w:t>15</w:t>
            </w:r>
            <w:r>
              <w:rPr>
                <w:rFonts w:hint="eastAsia" w:hAnsi="宋体"/>
                <w:b/>
                <w:snapToGrid w:val="0"/>
                <w:szCs w:val="18"/>
              </w:rPr>
              <w:t>点</w:t>
            </w:r>
            <w:r>
              <w:rPr>
                <w:rFonts w:hint="eastAsia" w:hAnsi="宋体"/>
                <w:b/>
                <w:snapToGrid w:val="0"/>
                <w:szCs w:val="18"/>
                <w:lang w:val="en-US" w:eastAsia="zh-CN"/>
              </w:rPr>
              <w:t>0</w:t>
            </w:r>
            <w:r>
              <w:rPr>
                <w:rFonts w:hint="eastAsia" w:hAnsi="宋体"/>
                <w:b/>
                <w:snapToGrid w:val="0"/>
                <w:szCs w:val="18"/>
              </w:rPr>
              <w:t>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，最低收取人民币7000元。</w:t>
            </w:r>
          </w:p>
        </w:tc>
      </w:tr>
    </w:tbl>
    <w:p>
      <w:pPr>
        <w:widowControl/>
        <w:jc w:val="left"/>
      </w:pPr>
      <w:r>
        <w:br w:type="page"/>
      </w:r>
    </w:p>
    <w:p/>
    <w:p>
      <w:pPr>
        <w:pStyle w:val="3"/>
      </w:pPr>
      <w:bookmarkStart w:id="18" w:name="_Toc110410295"/>
      <w:r>
        <w:rPr>
          <w:rFonts w:hint="eastAsia"/>
        </w:rPr>
        <w:t>第六章  投标人须知</w:t>
      </w:r>
      <w:bookmarkEnd w:id="18"/>
    </w:p>
    <w:p>
      <w:pPr>
        <w:pStyle w:val="4"/>
        <w:spacing w:before="0" w:after="0"/>
      </w:pPr>
      <w:bookmarkStart w:id="19" w:name="_Toc110410296"/>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及有关招投标法规、规章、规定，通过招标来择优选定供应商。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”是指前附表第2项所述。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”是提前附表第3项所述。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  “投标人”是指向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  “货物”是指各种形态和种类的物品，包括原材料、燃料、设备、产品等。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“工程”是指建设工程，包括建筑物和构筑物的新建、改建、扩建、装修、拆除、修缮等。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  “服务”是指除货物和工程以外的其他政府采购对象，包括政府自身需要的服务和政府向社会公众提供的公共服务。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6.1  采购人和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4"/>
        <w:spacing w:before="0" w:after="0"/>
      </w:pPr>
      <w:bookmarkStart w:id="21" w:name="_Toc110410297"/>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招标文件是用以阐明所需设备及服务的情况，以及招标、投标程序和相应的合同条款。招标文件由下述部分组成：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4"/>
        <w:spacing w:before="0" w:after="0"/>
      </w:pPr>
      <w:bookmarkStart w:id="22" w:name="q6"/>
      <w:bookmarkEnd w:id="22"/>
      <w:bookmarkStart w:id="23" w:name="_Toc110410298"/>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（2）政府采购违法行为风险知悉确认书</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hint="eastAsia"/>
          <w:snapToGrid w:val="0"/>
          <w:kern w:val="0"/>
          <w:szCs w:val="21"/>
        </w:rPr>
        <w:t>法定代表人（负责人）证明书及授权委托书</w:t>
      </w:r>
      <w:r>
        <w:rPr>
          <w:rFonts w:hint="eastAsia" w:asciiTheme="minorEastAsia" w:hAnsiTheme="minorEastAsia" w:eastAsiaTheme="minorEastAsia"/>
          <w:snapToGrid w:val="0"/>
          <w:kern w:val="0"/>
        </w:rPr>
        <w:t>（投标文件格式2）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（6）投标函（投标文件格式3） </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（9）技术规格（投标文件格式7）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（10）交付进度（投标文件格式8）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（11）售后服务和质量承诺（投标文件格式9）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w:t>
      </w:r>
      <w:r>
        <w:rPr>
          <w:rFonts w:asciiTheme="minorEastAsia" w:hAnsiTheme="minorEastAsia" w:eastAsiaTheme="minorEastAsia"/>
          <w:snapToGrid w:val="0"/>
          <w:kern w:val="0"/>
        </w:rPr>
        <w:t>投标人情况介绍</w:t>
      </w:r>
      <w:r>
        <w:rPr>
          <w:rFonts w:hint="eastAsia" w:asciiTheme="minorEastAsia" w:hAnsiTheme="minorEastAsia" w:eastAsiaTheme="minorEastAsia"/>
          <w:snapToGrid w:val="0"/>
          <w:kern w:val="0"/>
        </w:rPr>
        <w:t xml:space="preserve"> （投标文件格式10）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（13）偏离表（投标文件格式11）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（14）招标文件要求的其他资料或投标人认为需要补充的资料（投标文件格式12）</w:t>
      </w:r>
    </w:p>
    <w:p>
      <w:pPr>
        <w:adjustRightInd w:val="0"/>
        <w:spacing w:line="360" w:lineRule="auto"/>
        <w:ind w:left="848" w:leftChars="99" w:hanging="640" w:hangingChars="305"/>
        <w:rPr>
          <w:rFonts w:asciiTheme="minorEastAsia" w:hAnsiTheme="minorEastAsia" w:eastAsiaTheme="minorEastAsia"/>
          <w:snapToGrid w:val="0"/>
          <w:kern w:val="0"/>
        </w:rPr>
      </w:pPr>
      <w:r>
        <w:rPr>
          <w:rFonts w:hint="eastAsia" w:asciiTheme="minorEastAsia" w:hAnsiTheme="minorEastAsia" w:eastAsiaTheme="minorEastAsia"/>
          <w:snapToGrid w:val="0"/>
          <w:kern w:val="0"/>
        </w:rPr>
        <w:t>（15）装有“法定代表人（负责人）证明书、法定代表人（负责人）授权委托书”和“开标一览表”单独密封的信封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（16）装有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（17）产品样品或产品样板（如有）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投标货物的单价和投标总价。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投标人必须提交证明其有资格进行投标，和中标后有能力履行合同的证明文件（投标文件格式1与格式10），作为投标文件的一部分。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snapToGrid w:val="0"/>
          <w:kern w:val="0"/>
        </w:rPr>
        <w:t>以下有关投标保证金的条款仅适用于需要缴纳投标保证金的项目。是否需要缴纳投标保证金以《投标人须知前附表》中的规定或说明为准。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提交一笔不少于前附表第9项所规定的投标保证金。投标保证金为投标文件的组成部分之一。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中标人的投标保证金，采购代理机构将在中标人签订合同并支付中标服务费后5个工作日内退还。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如果中标人未能做到：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投标文件数量按前附表第11项所述，须在每一份投标文件上明确注明“正本”或“副本”字样。一旦正本和副本有差异，以正本为准。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4"/>
        <w:spacing w:before="0" w:after="0"/>
      </w:pPr>
      <w:bookmarkStart w:id="24" w:name="q7"/>
      <w:bookmarkEnd w:id="24"/>
      <w:bookmarkStart w:id="25" w:name="_Toc110410299"/>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w:t>
      </w:r>
      <w:r>
        <w:rPr>
          <w:rFonts w:hint="eastAsia" w:asciiTheme="minorEastAsia" w:hAnsiTheme="minorEastAsia" w:eastAsiaTheme="minorEastAsia"/>
          <w:snapToGrid w:val="0"/>
          <w:kern w:val="0"/>
        </w:rPr>
        <w:t>信封，在信封上注明“备份光盘（或U盘）”。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将投标文件“正本”、“副本”和密封好的“备份光盘（或U盘）”一起封装在同一个外层包封中，同时还应在封套上载明以下信息：</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w:t>
      </w:r>
      <w:r>
        <w:rPr>
          <w:rFonts w:hint="eastAsia"/>
          <w:snapToGrid w:val="0"/>
          <w:kern w:val="0"/>
        </w:rPr>
        <w:t>备份光</w:t>
      </w:r>
      <w:r>
        <w:rPr>
          <w:rFonts w:hint="eastAsia" w:asciiTheme="minorEastAsia" w:hAnsiTheme="minorEastAsia" w:eastAsiaTheme="minorEastAsia"/>
          <w:snapToGrid w:val="0"/>
          <w:kern w:val="0"/>
        </w:rPr>
        <w:t>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投标人应将“法定代表人（负责人）证明书、法定代表人（负责人）授权委托书”和“开标一览表”单独密封于一信封，在递交投标文件时单独交与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注明：“开标一览表”和“法定代表人（负责人）证明书、法定代表人（负责人）授权委托书”；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4"/>
        <w:spacing w:before="0" w:after="0"/>
      </w:pPr>
      <w:bookmarkStart w:id="27" w:name="q8"/>
      <w:bookmarkEnd w:id="27"/>
      <w:bookmarkStart w:id="28" w:name="_Toc110410300"/>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r>
        <w:rPr>
          <w:rFonts w:hint="eastAsia" w:asciiTheme="minorEastAsia" w:hAnsiTheme="minorEastAsia" w:eastAsiaTheme="minorEastAsia"/>
          <w:szCs w:val="21"/>
        </w:rPr>
        <w:t>。</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4"/>
        <w:spacing w:before="0" w:after="0"/>
      </w:pPr>
      <w:bookmarkStart w:id="30" w:name="_Toc110410301"/>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中标人向采购代理机构支付中标服务费后，领取《中标通知书》。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中标人应按《中标通知书》或按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招标文件、中标人的投标文件及其澄清文件等，均为签订合同的依据。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中标人须按招标文件的规定或根据合同条款的规定向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9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6"/>
        <w:gridCol w:w="2056"/>
        <w:gridCol w:w="2056"/>
        <w:gridCol w:w="2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3166" w:type="dxa"/>
          </w:tcPr>
          <w:p>
            <w:pPr>
              <w:ind w:firstLine="1219" w:firstLineChars="578"/>
              <w:rPr>
                <w:rFonts w:ascii="宋体" w:hAnsi="宋体"/>
                <w:b/>
                <w:szCs w:val="21"/>
              </w:rPr>
            </w:pPr>
            <w:r>
              <w:rPr>
                <w:rFonts w:ascii="宋体" w:hAnsi="宋体"/>
                <w:b/>
                <w:szCs w:val="21"/>
              </w:rPr>
              <mc:AlternateContent>
                <mc:Choice Requires="wps">
                  <w:drawing>
                    <wp:anchor distT="0" distB="0" distL="114300" distR="114300" simplePos="0" relativeHeight="251665408" behindDoc="0" locked="0" layoutInCell="0" allowOverlap="1">
                      <wp:simplePos x="0" y="0"/>
                      <wp:positionH relativeFrom="column">
                        <wp:posOffset>619760</wp:posOffset>
                      </wp:positionH>
                      <wp:positionV relativeFrom="paragraph">
                        <wp:posOffset>11430</wp:posOffset>
                      </wp:positionV>
                      <wp:extent cx="1451610" cy="732155"/>
                      <wp:effectExtent l="1905" t="4445" r="13335" b="6350"/>
                      <wp:wrapNone/>
                      <wp:docPr id="8" name="直线 6"/>
                      <wp:cNvGraphicFramePr/>
                      <a:graphic xmlns:a="http://schemas.openxmlformats.org/drawingml/2006/main">
                        <a:graphicData uri="http://schemas.microsoft.com/office/word/2010/wordprocessingShape">
                          <wps:wsp>
                            <wps:cNvCnPr/>
                            <wps:spPr>
                              <a:xfrm flipH="1" flipV="1">
                                <a:off x="0" y="0"/>
                                <a:ext cx="1215390" cy="98996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flip:x y;margin-left:48.8pt;margin-top:0.9pt;height:57.65pt;width:114.3pt;z-index:251665408;mso-width-relative:page;mso-height-relative:page;" filled="f" stroked="t" coordsize="21600,21600" o:allowincell="f" o:gfxdata="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o61hPdEAAAAIAQAADwAAAAAAAAABACAAAAAiAAAAZHJzL2Rvd25yZXYueG1sUEsB&#10;AhQAFAAAAAgAh07iQHUKKdj8AQAAAgQAAA4AAAAAAAAAAQAgAAAAIAEAAGRycy9lMm9Eb2MueG1s&#10;UEsFBgAAAAAGAAYAWQEAAI4FA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6432" behindDoc="0" locked="0" layoutInCell="0" allowOverlap="1">
                      <wp:simplePos x="0" y="0"/>
                      <wp:positionH relativeFrom="column">
                        <wp:posOffset>90170</wp:posOffset>
                      </wp:positionH>
                      <wp:positionV relativeFrom="paragraph">
                        <wp:posOffset>321945</wp:posOffset>
                      </wp:positionV>
                      <wp:extent cx="1981200" cy="421640"/>
                      <wp:effectExtent l="1270" t="4445" r="17780" b="12065"/>
                      <wp:wrapNone/>
                      <wp:docPr id="9" name="直线 7"/>
                      <wp:cNvGraphicFramePr/>
                      <a:graphic xmlns:a="http://schemas.openxmlformats.org/drawingml/2006/main">
                        <a:graphicData uri="http://schemas.microsoft.com/office/word/2010/wordprocessingShape">
                          <wps:wsp>
                            <wps:cNvCnPr/>
                            <wps:spPr>
                              <a:xfrm flipH="1" flipV="1">
                                <a:off x="0" y="0"/>
                                <a:ext cx="1771650" cy="67945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flip:x y;margin-left:7.1pt;margin-top:25.35pt;height:33.2pt;width:156pt;z-index:251666432;mso-width-relative:page;mso-height-relative:page;" filled="f" stroked="t" coordsize="21600,21600" o:allowincell="f" o:gfxdata="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BWj/7LTAAAACQEAAA8AAAAAAAAAAQAgAAAAIgAAAGRycy9kb3ducmV2LnhtbFBL&#10;AQIUABQAAAAIAIdO4kDwpdTX+wEAAAIEAAAOAAAAAAAAAAEAIAAAACIBAABkcnMvZTJvRG9jLnht&#10;bFBLBQYAAAAABgAGAFkBAACPBQAAAAA=&#10;">
                      <v:fill on="f" focussize="0,0"/>
                      <v:stroke color="#000000" joinstyle="round"/>
                      <v:imagedata o:title=""/>
                      <o:lock v:ext="edit" aspectratio="f"/>
                    </v:line>
                  </w:pict>
                </mc:Fallback>
              </mc:AlternateContent>
            </w:r>
            <w:r>
              <w:rPr>
                <w:rFonts w:ascii="宋体" w:hAnsi="宋体"/>
                <w:b/>
                <w:szCs w:val="21"/>
              </w:rPr>
              <mc:AlternateContent>
                <mc:Choice Requires="wps">
                  <w:drawing>
                    <wp:anchor distT="0" distB="0" distL="114300" distR="114300" simplePos="0" relativeHeight="251664384" behindDoc="0" locked="0" layoutInCell="0" allowOverlap="1">
                      <wp:simplePos x="0" y="0"/>
                      <wp:positionH relativeFrom="column">
                        <wp:posOffset>-114300</wp:posOffset>
                      </wp:positionH>
                      <wp:positionV relativeFrom="paragraph">
                        <wp:posOffset>-6350</wp:posOffset>
                      </wp:positionV>
                      <wp:extent cx="635" cy="0"/>
                      <wp:effectExtent l="0" t="0" r="0" b="0"/>
                      <wp:wrapNone/>
                      <wp:docPr id="7" name="直线 5"/>
                      <wp:cNvGraphicFramePr/>
                      <a:graphic xmlns:a="http://schemas.openxmlformats.org/drawingml/2006/main">
                        <a:graphicData uri="http://schemas.microsoft.com/office/word/2010/wordprocessingShape">
                          <wps:wsp>
                            <wps:cNvCnPr/>
                            <wps:spPr>
                              <a:xfrm>
                                <a:off x="0" y="0"/>
                                <a:ext cx="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9pt;margin-top:-0.5pt;height:0pt;width:0.05pt;z-index:251664384;mso-width-relative:page;mso-height-relative:page;" filled="f" stroked="t" coordsize="21600,21600" o:allowincell="f" o:gfxdata="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a5HTftUAAAAJ&#10;AQAADwAAAAAAAAABACAAAAAiAAAAZHJzL2Rvd25yZXYueG1sUEsBAhQAFAAAAAgAh07iQFsU+8Dm&#10;AQAA4wMAAA4AAAAAAAAAAQAgAAAAJAEAAGRycy9lMm9Eb2MueG1sUEsFBgAAAAAGAAYAWQEAAHwF&#10;AAAAAA==&#10;">
                      <v:fill on="f" focussize="0,0"/>
                      <v:stroke color="#000000" joinstyle="round"/>
                      <v:imagedata o:title=""/>
                      <o:lock v:ext="edit" aspectratio="f"/>
                    </v:line>
                  </w:pict>
                </mc:Fallback>
              </mc:AlternateContent>
            </w:r>
            <w:r>
              <w:rPr>
                <w:rFonts w:hint="eastAsia" w:ascii="宋体" w:hAnsi="宋体"/>
                <w:b/>
                <w:szCs w:val="21"/>
              </w:rPr>
              <w:t xml:space="preserve">    服务类型</w:t>
            </w:r>
          </w:p>
          <w:p>
            <w:pPr>
              <w:ind w:firstLine="392" w:firstLineChars="186"/>
              <w:rPr>
                <w:rFonts w:ascii="宋体" w:hAnsi="宋体"/>
                <w:b/>
                <w:szCs w:val="21"/>
              </w:rPr>
            </w:pPr>
            <w:r>
              <w:rPr>
                <w:rFonts w:hint="eastAsia" w:ascii="宋体" w:hAnsi="宋体"/>
                <w:b/>
                <w:szCs w:val="21"/>
              </w:rPr>
              <w:t>费率　　　　　</w:t>
            </w:r>
          </w:p>
          <w:p>
            <w:pPr>
              <w:ind w:firstLine="1054"/>
              <w:rPr>
                <w:rFonts w:ascii="宋体" w:hAnsi="宋体"/>
                <w:b/>
                <w:szCs w:val="21"/>
              </w:rPr>
            </w:pPr>
            <w:r>
              <w:rPr>
                <w:rFonts w:hint="eastAsia" w:ascii="宋体" w:hAnsi="宋体"/>
                <w:b/>
                <w:szCs w:val="21"/>
              </w:rPr>
              <w:t>　　　</w:t>
            </w:r>
          </w:p>
          <w:p>
            <w:pPr>
              <w:rPr>
                <w:rFonts w:ascii="宋体" w:hAnsi="宋体"/>
                <w:b/>
                <w:szCs w:val="21"/>
              </w:rPr>
            </w:pPr>
            <w:r>
              <w:rPr>
                <w:rFonts w:hint="eastAsia" w:ascii="宋体" w:hAnsi="宋体"/>
                <w:b/>
                <w:szCs w:val="21"/>
              </w:rPr>
              <w:t>中标（成交）金额</w:t>
            </w:r>
          </w:p>
        </w:tc>
        <w:tc>
          <w:tcPr>
            <w:tcW w:w="2056" w:type="dxa"/>
            <w:vAlign w:val="center"/>
          </w:tcPr>
          <w:p>
            <w:pPr>
              <w:jc w:val="center"/>
              <w:rPr>
                <w:rFonts w:ascii="宋体" w:hAnsi="宋体"/>
                <w:b/>
                <w:szCs w:val="21"/>
              </w:rPr>
            </w:pPr>
            <w:r>
              <w:rPr>
                <w:rFonts w:hint="eastAsia" w:ascii="宋体" w:hAnsi="宋体"/>
                <w:b/>
                <w:szCs w:val="21"/>
              </w:rPr>
              <w:t>货物采购</w:t>
            </w:r>
          </w:p>
        </w:tc>
        <w:tc>
          <w:tcPr>
            <w:tcW w:w="2056" w:type="dxa"/>
            <w:vAlign w:val="center"/>
          </w:tcPr>
          <w:p>
            <w:pPr>
              <w:jc w:val="center"/>
              <w:rPr>
                <w:rFonts w:ascii="宋体" w:hAnsi="宋体"/>
                <w:b/>
                <w:szCs w:val="21"/>
              </w:rPr>
            </w:pPr>
            <w:r>
              <w:rPr>
                <w:rFonts w:hint="eastAsia" w:ascii="宋体" w:hAnsi="宋体"/>
                <w:b/>
                <w:szCs w:val="21"/>
              </w:rPr>
              <w:t>服务采购</w:t>
            </w:r>
          </w:p>
        </w:tc>
        <w:tc>
          <w:tcPr>
            <w:tcW w:w="2057" w:type="dxa"/>
            <w:vAlign w:val="center"/>
          </w:tcPr>
          <w:p>
            <w:pPr>
              <w:jc w:val="center"/>
              <w:rPr>
                <w:rFonts w:ascii="宋体" w:hAnsi="宋体"/>
                <w:b/>
                <w:szCs w:val="21"/>
              </w:rPr>
            </w:pPr>
            <w:r>
              <w:rPr>
                <w:rFonts w:hint="eastAsia" w:ascii="宋体" w:hAnsi="宋体"/>
                <w:b/>
                <w:szCs w:val="21"/>
              </w:rPr>
              <w:t>工程采购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100万元以下</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6" w:type="dxa"/>
            <w:vAlign w:val="center"/>
          </w:tcPr>
          <w:p>
            <w:pPr>
              <w:widowControl/>
              <w:jc w:val="center"/>
              <w:rPr>
                <w:rFonts w:ascii="宋体" w:hAnsi="宋体"/>
                <w:kern w:val="0"/>
                <w:szCs w:val="21"/>
              </w:rPr>
            </w:pPr>
            <w:r>
              <w:rPr>
                <w:rFonts w:hint="eastAsia" w:ascii="宋体" w:hAnsi="宋体"/>
                <w:kern w:val="0"/>
                <w:szCs w:val="21"/>
              </w:rPr>
              <w:t>1.500%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100万元（含）-500万元</w:t>
            </w:r>
          </w:p>
        </w:tc>
        <w:tc>
          <w:tcPr>
            <w:tcW w:w="2056" w:type="dxa"/>
            <w:vAlign w:val="center"/>
          </w:tcPr>
          <w:p>
            <w:pPr>
              <w:widowControl/>
              <w:jc w:val="center"/>
              <w:rPr>
                <w:rFonts w:ascii="宋体" w:hAnsi="宋体"/>
                <w:kern w:val="0"/>
                <w:szCs w:val="21"/>
              </w:rPr>
            </w:pPr>
            <w:r>
              <w:rPr>
                <w:rFonts w:hint="eastAsia" w:ascii="宋体" w:hAnsi="宋体"/>
                <w:kern w:val="0"/>
                <w:szCs w:val="21"/>
              </w:rPr>
              <w:t>1.100%</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500万元（含）-1000万元</w:t>
            </w:r>
          </w:p>
        </w:tc>
        <w:tc>
          <w:tcPr>
            <w:tcW w:w="2056" w:type="dxa"/>
            <w:vAlign w:val="center"/>
          </w:tcPr>
          <w:p>
            <w:pPr>
              <w:widowControl/>
              <w:jc w:val="center"/>
              <w:rPr>
                <w:rFonts w:ascii="宋体" w:hAnsi="宋体"/>
                <w:kern w:val="0"/>
                <w:szCs w:val="21"/>
              </w:rPr>
            </w:pPr>
            <w:r>
              <w:rPr>
                <w:rFonts w:hint="eastAsia" w:ascii="宋体" w:hAnsi="宋体"/>
                <w:kern w:val="0"/>
                <w:szCs w:val="21"/>
              </w:rPr>
              <w:t>0.800%</w:t>
            </w:r>
          </w:p>
        </w:tc>
        <w:tc>
          <w:tcPr>
            <w:tcW w:w="2056" w:type="dxa"/>
            <w:vAlign w:val="center"/>
          </w:tcPr>
          <w:p>
            <w:pPr>
              <w:widowControl/>
              <w:jc w:val="center"/>
              <w:rPr>
                <w:rFonts w:ascii="宋体" w:hAnsi="宋体"/>
                <w:kern w:val="0"/>
                <w:szCs w:val="21"/>
              </w:rPr>
            </w:pPr>
            <w:r>
              <w:rPr>
                <w:rFonts w:hint="eastAsia" w:ascii="宋体" w:hAnsi="宋体"/>
                <w:kern w:val="0"/>
                <w:szCs w:val="21"/>
              </w:rPr>
              <w:t>0.450%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1000万元（含）-5000万元</w:t>
            </w:r>
          </w:p>
        </w:tc>
        <w:tc>
          <w:tcPr>
            <w:tcW w:w="2056" w:type="dxa"/>
            <w:vAlign w:val="center"/>
          </w:tcPr>
          <w:p>
            <w:pPr>
              <w:widowControl/>
              <w:jc w:val="center"/>
              <w:rPr>
                <w:rFonts w:ascii="宋体" w:hAnsi="宋体"/>
                <w:kern w:val="0"/>
                <w:szCs w:val="21"/>
              </w:rPr>
            </w:pPr>
            <w:r>
              <w:rPr>
                <w:rFonts w:hint="eastAsia" w:ascii="宋体" w:hAnsi="宋体"/>
                <w:kern w:val="0"/>
                <w:szCs w:val="21"/>
              </w:rPr>
              <w:t>0.500%</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5000万元（含）-1亿元</w:t>
            </w:r>
          </w:p>
        </w:tc>
        <w:tc>
          <w:tcPr>
            <w:tcW w:w="2056" w:type="dxa"/>
            <w:vAlign w:val="center"/>
          </w:tcPr>
          <w:p>
            <w:pPr>
              <w:widowControl/>
              <w:jc w:val="center"/>
              <w:rPr>
                <w:rFonts w:ascii="宋体" w:hAnsi="宋体"/>
                <w:kern w:val="0"/>
                <w:szCs w:val="21"/>
              </w:rPr>
            </w:pPr>
            <w:r>
              <w:rPr>
                <w:rFonts w:hint="eastAsia" w:ascii="宋体" w:hAnsi="宋体"/>
                <w:kern w:val="0"/>
                <w:szCs w:val="21"/>
              </w:rPr>
              <w:t>0.250%</w:t>
            </w:r>
          </w:p>
        </w:tc>
        <w:tc>
          <w:tcPr>
            <w:tcW w:w="2056" w:type="dxa"/>
            <w:vAlign w:val="center"/>
          </w:tcPr>
          <w:p>
            <w:pPr>
              <w:widowControl/>
              <w:jc w:val="center"/>
              <w:rPr>
                <w:rFonts w:ascii="宋体" w:hAnsi="宋体"/>
                <w:kern w:val="0"/>
                <w:szCs w:val="21"/>
              </w:rPr>
            </w:pPr>
            <w:r>
              <w:rPr>
                <w:rFonts w:hint="eastAsia" w:ascii="宋体" w:hAnsi="宋体"/>
                <w:kern w:val="0"/>
                <w:szCs w:val="21"/>
              </w:rPr>
              <w:t>0.100%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1亿元（含）-5亿元</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6" w:type="dxa"/>
            <w:vAlign w:val="center"/>
          </w:tcPr>
          <w:p>
            <w:pPr>
              <w:widowControl/>
              <w:jc w:val="center"/>
              <w:rPr>
                <w:rFonts w:ascii="宋体" w:hAnsi="宋体"/>
                <w:kern w:val="0"/>
                <w:szCs w:val="21"/>
              </w:rPr>
            </w:pPr>
            <w:r>
              <w:rPr>
                <w:rFonts w:hint="eastAsia" w:ascii="宋体" w:hAnsi="宋体"/>
                <w:kern w:val="0"/>
                <w:szCs w:val="21"/>
              </w:rPr>
              <w:t>0.050%</w:t>
            </w:r>
          </w:p>
        </w:tc>
        <w:tc>
          <w:tcPr>
            <w:tcW w:w="2057" w:type="dxa"/>
            <w:vAlign w:val="center"/>
          </w:tcPr>
          <w:p>
            <w:pPr>
              <w:widowControl/>
              <w:snapToGrid w:val="0"/>
              <w:jc w:val="center"/>
              <w:rPr>
                <w:rFonts w:ascii="宋体" w:hAnsi="宋体"/>
                <w:kern w:val="0"/>
                <w:szCs w:val="21"/>
              </w:rPr>
            </w:pPr>
            <w:r>
              <w:rPr>
                <w:rFonts w:hint="eastAsia" w:ascii="宋体" w:hAnsi="宋体"/>
                <w:kern w:val="0"/>
                <w:szCs w:val="21"/>
              </w:rPr>
              <w:t>0.050%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5亿元（含）-10亿元</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6" w:type="dxa"/>
            <w:vAlign w:val="center"/>
          </w:tcPr>
          <w:p>
            <w:pPr>
              <w:widowControl/>
              <w:jc w:val="center"/>
              <w:rPr>
                <w:rFonts w:ascii="宋体" w:hAnsi="宋体"/>
                <w:kern w:val="0"/>
                <w:szCs w:val="21"/>
              </w:rPr>
            </w:pPr>
            <w:r>
              <w:rPr>
                <w:rFonts w:hint="eastAsia" w:ascii="宋体" w:hAnsi="宋体"/>
                <w:kern w:val="0"/>
                <w:szCs w:val="21"/>
              </w:rPr>
              <w:t>0.035%</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10亿元（含）-50亿元</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6" w:type="dxa"/>
            <w:vAlign w:val="center"/>
          </w:tcPr>
          <w:p>
            <w:pPr>
              <w:widowControl/>
              <w:jc w:val="center"/>
              <w:rPr>
                <w:rFonts w:ascii="宋体" w:hAnsi="宋体"/>
                <w:kern w:val="0"/>
                <w:szCs w:val="21"/>
              </w:rPr>
            </w:pPr>
            <w:r>
              <w:rPr>
                <w:rFonts w:hint="eastAsia" w:ascii="宋体" w:hAnsi="宋体"/>
                <w:kern w:val="0"/>
                <w:szCs w:val="21"/>
              </w:rPr>
              <w:t>0.008%</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50亿元（含）-100亿元</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6" w:type="dxa"/>
            <w:vAlign w:val="center"/>
          </w:tcPr>
          <w:p>
            <w:pPr>
              <w:widowControl/>
              <w:jc w:val="center"/>
              <w:rPr>
                <w:rFonts w:ascii="宋体" w:hAnsi="宋体"/>
                <w:kern w:val="0"/>
                <w:szCs w:val="21"/>
              </w:rPr>
            </w:pPr>
            <w:r>
              <w:rPr>
                <w:rFonts w:hint="eastAsia" w:ascii="宋体" w:hAnsi="宋体"/>
                <w:kern w:val="0"/>
                <w:szCs w:val="21"/>
              </w:rPr>
              <w:t>0.006%</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166" w:type="dxa"/>
            <w:vAlign w:val="center"/>
          </w:tcPr>
          <w:p>
            <w:pPr>
              <w:widowControl/>
              <w:jc w:val="center"/>
              <w:rPr>
                <w:rFonts w:ascii="宋体" w:hAnsi="宋体"/>
                <w:kern w:val="0"/>
                <w:szCs w:val="21"/>
              </w:rPr>
            </w:pPr>
            <w:r>
              <w:rPr>
                <w:rFonts w:hint="eastAsia" w:ascii="宋体" w:hAnsi="宋体"/>
                <w:kern w:val="0"/>
                <w:szCs w:val="21"/>
              </w:rPr>
              <w:t>100亿元（含）以上</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6" w:type="dxa"/>
            <w:vAlign w:val="center"/>
          </w:tcPr>
          <w:p>
            <w:pPr>
              <w:widowControl/>
              <w:jc w:val="center"/>
              <w:rPr>
                <w:rFonts w:ascii="宋体" w:hAnsi="宋体"/>
                <w:kern w:val="0"/>
                <w:szCs w:val="21"/>
              </w:rPr>
            </w:pPr>
            <w:r>
              <w:rPr>
                <w:rFonts w:hint="eastAsia" w:ascii="宋体" w:hAnsi="宋体"/>
                <w:kern w:val="0"/>
                <w:szCs w:val="21"/>
              </w:rPr>
              <w:t>0.004%</w:t>
            </w:r>
          </w:p>
        </w:tc>
        <w:tc>
          <w:tcPr>
            <w:tcW w:w="2057" w:type="dxa"/>
            <w:vAlign w:val="center"/>
          </w:tcPr>
          <w:p>
            <w:pPr>
              <w:widowControl/>
              <w:snapToGrid w:val="0"/>
              <w:jc w:val="center"/>
              <w:rPr>
                <w:rFonts w:ascii="宋体" w:hAnsi="宋体"/>
                <w:bCs/>
                <w:kern w:val="0"/>
                <w:szCs w:val="21"/>
              </w:rPr>
            </w:pPr>
            <w:r>
              <w:rPr>
                <w:rFonts w:hint="eastAsia" w:ascii="宋体" w:hAnsi="宋体"/>
                <w:bCs/>
                <w:kern w:val="0"/>
                <w:szCs w:val="21"/>
              </w:rPr>
              <w:t>0.004%</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注：1、中标服务费按差额定率累进法计算。例如：某货物类项目中标金额为1000万元，计算中标服务费如下：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（500-100）万元×1.1%=4.4万元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（1000-500）×0.8%=4万元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合计收费=1.5+4.4+4＝9.9（万元）</w:t>
      </w:r>
    </w:p>
    <w:p>
      <w:pPr>
        <w:spacing w:line="360" w:lineRule="auto"/>
        <w:ind w:firstLine="1044" w:firstLineChars="200"/>
        <w:rPr>
          <w:b/>
          <w:sz w:val="52"/>
          <w:szCs w:val="52"/>
        </w:rPr>
      </w:pPr>
    </w:p>
    <w:p>
      <w:pPr>
        <w:pStyle w:val="4"/>
        <w:spacing w:before="0" w:after="0"/>
      </w:pPr>
      <w:bookmarkStart w:id="31" w:name="_Toc110410302"/>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35.7质疑答复时限</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35.8投诉</w:t>
      </w:r>
    </w:p>
    <w:p>
      <w:pPr>
        <w:spacing w:line="360" w:lineRule="auto"/>
        <w:ind w:firstLine="424" w:firstLineChars="202"/>
        <w:rPr>
          <w:rFonts w:asciiTheme="majorEastAsia" w:hAnsiTheme="majorEastAsia" w:eastAsiaTheme="majorEastAsia"/>
          <w:szCs w:val="21"/>
        </w:rPr>
      </w:pPr>
      <w:r>
        <w:rPr>
          <w:rFonts w:hint="eastAsia" w:asciiTheme="majorEastAsia" w:hAnsiTheme="majorEastAsia" w:eastAsiaTheme="majorEastAsia"/>
          <w:szCs w:val="21"/>
        </w:rPr>
        <w:t>对质疑答复不满意或者未在规定时间内答复的，提出质疑的供应商可以在答复期满后15个工作日内向同级财政部门投诉。</w:t>
      </w:r>
      <w:bookmarkEnd w:id="32"/>
    </w:p>
    <w:p/>
    <w:p/>
    <w:p/>
    <w:p/>
    <w:p/>
    <w:p/>
    <w:p>
      <w:pPr>
        <w:widowControl/>
        <w:jc w:val="left"/>
      </w:pPr>
    </w:p>
    <w:p/>
    <w:p>
      <w:pPr>
        <w:pStyle w:val="3"/>
      </w:pPr>
      <w:bookmarkStart w:id="34" w:name="_Toc110410303"/>
      <w:r>
        <w:rPr>
          <w:rFonts w:hint="eastAsia"/>
        </w:rPr>
        <w:t>第七章  投标文件格式</w:t>
      </w:r>
      <w:bookmarkEnd w:id="34"/>
    </w:p>
    <w:p>
      <w:pPr>
        <w:jc w:val="center"/>
        <w:rPr>
          <w:b/>
          <w:sz w:val="52"/>
          <w:szCs w:val="52"/>
        </w:rPr>
      </w:pPr>
    </w:p>
    <w:p>
      <w:pPr>
        <w:pStyle w:val="4"/>
        <w:spacing w:line="400" w:lineRule="exact"/>
        <w:rPr>
          <w:rFonts w:ascii="仿宋" w:hAnsi="仿宋" w:eastAsia="仿宋"/>
        </w:rPr>
      </w:pPr>
      <w:bookmarkStart w:id="35" w:name="_Toc11772"/>
      <w:bookmarkStart w:id="36" w:name="_Toc44691163"/>
      <w:bookmarkStart w:id="37" w:name="_Toc14934"/>
      <w:bookmarkStart w:id="38" w:name="_Toc44691395"/>
      <w:bookmarkStart w:id="39" w:name="_Toc25194"/>
      <w:bookmarkStart w:id="40" w:name="_Toc44690704"/>
      <w:bookmarkStart w:id="41" w:name="_Toc31468"/>
      <w:bookmarkStart w:id="42" w:name="_Toc44690431"/>
      <w:bookmarkStart w:id="43" w:name="_Toc11041030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法定代表人（负责人）证明书、法定代表人（负责人）授权委托书和开标一览表（封包2）。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rPr>
          <w:b/>
          <w:bCs/>
        </w:rPr>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bookmarkStart w:id="44" w:name="_投标文件格式（第一册）"/>
      <w:bookmarkEnd w:id="44"/>
      <w:bookmarkStart w:id="45" w:name="q0"/>
      <w:r>
        <w:rPr>
          <w:rFonts w:ascii="仿宋" w:hAnsi="仿宋" w:eastAsia="仿宋"/>
        </w:rPr>
        <w:br w:type="page"/>
      </w:r>
    </w:p>
    <w:p>
      <w:pPr>
        <w:pStyle w:val="4"/>
        <w:spacing w:line="400" w:lineRule="exact"/>
        <w:rPr>
          <w:rFonts w:ascii="仿宋" w:hAnsi="仿宋" w:eastAsia="仿宋"/>
        </w:rPr>
      </w:pPr>
    </w:p>
    <w:p>
      <w:pPr>
        <w:pStyle w:val="4"/>
        <w:spacing w:line="400" w:lineRule="exact"/>
        <w:rPr>
          <w:rFonts w:ascii="仿宋" w:hAnsi="仿宋" w:eastAsia="仿宋"/>
        </w:rPr>
      </w:pPr>
      <w:bookmarkStart w:id="46" w:name="_Toc110410305"/>
      <w:r>
        <w:rPr>
          <w:rFonts w:hint="eastAsia" w:ascii="仿宋" w:hAnsi="仿宋" w:eastAsia="仿宋"/>
        </w:rPr>
        <w:t>投标文件格式</w:t>
      </w:r>
      <w:bookmarkEnd w:id="46"/>
    </w:p>
    <w:bookmarkEnd w:id="45"/>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目录（自拟）</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政府采购违法行为风险知悉确认书</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评标指引表</w:t>
      </w:r>
    </w:p>
    <w:p>
      <w:pPr>
        <w:numPr>
          <w:ilvl w:val="0"/>
          <w:numId w:val="4"/>
        </w:numPr>
        <w:adjustRightInd w:val="0"/>
        <w:spacing w:line="360" w:lineRule="auto"/>
        <w:rPr>
          <w:snapToGrid w:val="0"/>
          <w:kern w:val="0"/>
          <w:szCs w:val="21"/>
        </w:rPr>
      </w:pPr>
      <w:r>
        <w:rPr>
          <w:rFonts w:hint="eastAsia"/>
          <w:snapToGrid w:val="0"/>
          <w:kern w:val="0"/>
          <w:szCs w:val="21"/>
        </w:rPr>
        <w:t>投标人资格证明文件（格式1）</w:t>
      </w:r>
    </w:p>
    <w:p>
      <w:pPr>
        <w:numPr>
          <w:ilvl w:val="0"/>
          <w:numId w:val="4"/>
        </w:numPr>
        <w:adjustRightInd w:val="0"/>
        <w:spacing w:line="360" w:lineRule="auto"/>
        <w:rPr>
          <w:snapToGrid w:val="0"/>
          <w:kern w:val="0"/>
          <w:szCs w:val="21"/>
        </w:rPr>
      </w:pPr>
      <w:r>
        <w:rPr>
          <w:rFonts w:hint="eastAsia"/>
          <w:snapToGrid w:val="0"/>
          <w:kern w:val="0"/>
          <w:szCs w:val="21"/>
        </w:rPr>
        <w:t>法定代表人（负责人）证明书及授权委托书</w:t>
      </w:r>
      <w:r>
        <w:rPr>
          <w:rFonts w:hint="eastAsia" w:ascii="宋体" w:hAnsi="宋体"/>
          <w:snapToGrid w:val="0"/>
          <w:kern w:val="0"/>
          <w:szCs w:val="21"/>
        </w:rPr>
        <w:t>（格式2）</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投标函（格式3）</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评分中涉及的承诺及声明函（格式4）</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开标一览表（格式5）</w:t>
      </w:r>
    </w:p>
    <w:p>
      <w:pPr>
        <w:adjustRightInd w:val="0"/>
        <w:spacing w:line="360" w:lineRule="auto"/>
        <w:ind w:firstLine="422" w:firstLineChars="200"/>
        <w:rPr>
          <w:rFonts w:ascii="宋体" w:hAnsi="宋体"/>
          <w:b/>
          <w:bCs/>
          <w:snapToGrid w:val="0"/>
          <w:kern w:val="0"/>
          <w:szCs w:val="21"/>
        </w:rPr>
      </w:pPr>
      <w:r>
        <w:rPr>
          <w:rFonts w:hint="eastAsia" w:ascii="宋体" w:hAnsi="宋体"/>
          <w:b/>
          <w:snapToGrid w:val="0"/>
          <w:kern w:val="0"/>
          <w:szCs w:val="21"/>
        </w:rPr>
        <w:t>注：此表应与“法定代表人（负责人）证明书、法定代表人（负责人）授权委托书”一起密封于一信封，在递交投标文件时单独交与</w:t>
      </w:r>
      <w:r>
        <w:rPr>
          <w:rFonts w:hint="eastAsia" w:ascii="宋体" w:hAnsi="宋体"/>
          <w:b/>
          <w:bCs/>
          <w:snapToGrid w:val="0"/>
          <w:kern w:val="0"/>
          <w:szCs w:val="21"/>
        </w:rPr>
        <w:t>采购代理机构。</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报价表（格式6）</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技术规格（格式7）</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交付进度（格式8）</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售后服务和质量承诺（格式9）</w:t>
      </w:r>
    </w:p>
    <w:p>
      <w:pPr>
        <w:numPr>
          <w:ilvl w:val="0"/>
          <w:numId w:val="4"/>
        </w:numPr>
        <w:adjustRightInd w:val="0"/>
        <w:spacing w:line="360" w:lineRule="auto"/>
        <w:rPr>
          <w:rFonts w:ascii="宋体" w:hAnsi="宋体"/>
          <w:snapToGrid w:val="0"/>
          <w:kern w:val="0"/>
          <w:szCs w:val="21"/>
        </w:rPr>
      </w:pPr>
      <w:r>
        <w:rPr>
          <w:rFonts w:ascii="宋体" w:hAnsi="宋体"/>
          <w:snapToGrid w:val="0"/>
          <w:kern w:val="0"/>
        </w:rPr>
        <w:t>投标人情况介绍</w:t>
      </w:r>
      <w:r>
        <w:rPr>
          <w:rFonts w:hint="eastAsia" w:ascii="宋体" w:hAnsi="宋体"/>
          <w:snapToGrid w:val="0"/>
          <w:kern w:val="0"/>
        </w:rPr>
        <w:t>（</w:t>
      </w:r>
      <w:r>
        <w:rPr>
          <w:rFonts w:ascii="宋体" w:hAnsi="宋体"/>
          <w:snapToGrid w:val="0"/>
          <w:kern w:val="0"/>
        </w:rPr>
        <w:t>格式</w:t>
      </w:r>
      <w:r>
        <w:rPr>
          <w:rFonts w:hint="eastAsia" w:ascii="宋体" w:hAnsi="宋体"/>
          <w:snapToGrid w:val="0"/>
          <w:kern w:val="0"/>
        </w:rPr>
        <w:t>10</w:t>
      </w:r>
      <w:r>
        <w:rPr>
          <w:rFonts w:ascii="宋体" w:hAnsi="宋体"/>
          <w:snapToGrid w:val="0"/>
          <w:kern w:val="0"/>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szCs w:val="21"/>
        </w:rPr>
        <w:t>偏离</w:t>
      </w:r>
      <w:r>
        <w:rPr>
          <w:rFonts w:ascii="宋体" w:hAnsi="宋体"/>
          <w:snapToGrid w:val="0"/>
          <w:kern w:val="0"/>
          <w:szCs w:val="21"/>
        </w:rPr>
        <w:t>表（格式</w:t>
      </w:r>
      <w:r>
        <w:rPr>
          <w:rFonts w:hint="eastAsia" w:ascii="宋体" w:hAnsi="宋体"/>
          <w:snapToGrid w:val="0"/>
          <w:kern w:val="0"/>
          <w:szCs w:val="21"/>
        </w:rPr>
        <w:t>11</w:t>
      </w:r>
      <w:r>
        <w:rPr>
          <w:rFonts w:ascii="宋体" w:hAnsi="宋体"/>
          <w:snapToGrid w:val="0"/>
          <w:kern w:val="0"/>
          <w:szCs w:val="21"/>
        </w:rPr>
        <w:t>）</w:t>
      </w:r>
    </w:p>
    <w:p>
      <w:pPr>
        <w:numPr>
          <w:ilvl w:val="0"/>
          <w:numId w:val="4"/>
        </w:numPr>
        <w:adjustRightInd w:val="0"/>
        <w:spacing w:line="360" w:lineRule="auto"/>
        <w:rPr>
          <w:rFonts w:ascii="宋体" w:hAnsi="宋体"/>
          <w:snapToGrid w:val="0"/>
          <w:kern w:val="0"/>
          <w:szCs w:val="21"/>
        </w:rPr>
      </w:pPr>
      <w:r>
        <w:rPr>
          <w:rFonts w:hint="eastAsia" w:ascii="宋体" w:hAnsi="宋体"/>
          <w:snapToGrid w:val="0"/>
          <w:kern w:val="0"/>
        </w:rPr>
        <w:t>招标文件要求的其他资料或投标人认为需要补充的资料</w:t>
      </w:r>
      <w:r>
        <w:rPr>
          <w:rFonts w:hint="eastAsia" w:ascii="宋体" w:hAnsi="宋体"/>
          <w:snapToGrid w:val="0"/>
          <w:kern w:val="0"/>
          <w:szCs w:val="21"/>
        </w:rPr>
        <w:t>（格式12）</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4"/>
        <w:spacing w:line="400" w:lineRule="exact"/>
        <w:rPr>
          <w:rFonts w:ascii="仿宋" w:hAnsi="仿宋" w:eastAsia="仿宋"/>
        </w:rPr>
      </w:pPr>
      <w:bookmarkStart w:id="48" w:name="_Toc110410306"/>
      <w:bookmarkStart w:id="49" w:name="_Toc73610158"/>
      <w:r>
        <w:rPr>
          <w:rFonts w:hint="eastAsia" w:ascii="仿宋" w:hAnsi="仿宋" w:eastAsia="仿宋"/>
        </w:rPr>
        <w:t>政府采购违法行为风险知悉确认书</w:t>
      </w:r>
      <w:bookmarkEnd w:id="48"/>
    </w:p>
    <w:p>
      <w:pPr>
        <w:spacing w:line="360" w:lineRule="auto"/>
        <w:ind w:firstLine="420" w:firstLineChars="200"/>
        <w:rPr>
          <w:rFonts w:ascii="宋体" w:hAnsi="宋体"/>
          <w:szCs w:val="21"/>
        </w:rPr>
      </w:pPr>
      <w:r>
        <w:rPr>
          <w:rFonts w:hint="eastAsia" w:ascii="宋体" w:hAnsi="宋体"/>
          <w:szCs w:val="21"/>
        </w:rPr>
        <w:t>本公司在投标前已充分知悉以下情形为参与政府采购活动时的重大风险事项，并承诺已对下述风险提示事项重点排查，做到严谨、诚信、依法依规参与政府采购活动。</w:t>
      </w:r>
    </w:p>
    <w:p>
      <w:pPr>
        <w:spacing w:line="360" w:lineRule="auto"/>
        <w:ind w:firstLine="422" w:firstLineChars="200"/>
        <w:rPr>
          <w:rFonts w:ascii="宋体" w:hAnsi="宋体"/>
          <w:b/>
          <w:szCs w:val="21"/>
        </w:rPr>
      </w:pPr>
      <w:r>
        <w:rPr>
          <w:rFonts w:hint="eastAsia" w:ascii="宋体" w:hAnsi="宋体"/>
          <w:b/>
          <w:szCs w:val="21"/>
        </w:rPr>
        <w:t>一、本公司已充分知悉“隐瞒真实情况，提供虚假资料”的法定情形，相关情形包括但不限于：</w:t>
      </w:r>
    </w:p>
    <w:p>
      <w:pPr>
        <w:spacing w:line="360" w:lineRule="auto"/>
        <w:ind w:firstLine="420" w:firstLineChars="200"/>
        <w:rPr>
          <w:rFonts w:ascii="宋体" w:hAnsi="宋体"/>
          <w:szCs w:val="21"/>
        </w:rPr>
      </w:pPr>
      <w:r>
        <w:rPr>
          <w:rFonts w:hint="eastAsia" w:ascii="宋体" w:hAnsi="宋体"/>
          <w:szCs w:val="21"/>
        </w:rPr>
        <w:t>（一）通过转让或者租借等方式从其他单位获取资格或者资质证书投标的。</w:t>
      </w:r>
    </w:p>
    <w:p>
      <w:pPr>
        <w:spacing w:line="360" w:lineRule="auto"/>
        <w:ind w:firstLine="420" w:firstLineChars="200"/>
        <w:rPr>
          <w:rFonts w:ascii="宋体" w:hAnsi="宋体"/>
          <w:szCs w:val="21"/>
        </w:rPr>
      </w:pPr>
      <w:r>
        <w:rPr>
          <w:rFonts w:hint="eastAsia" w:ascii="宋体" w:hAnsi="宋体"/>
          <w:szCs w:val="21"/>
        </w:rPr>
        <w:t>（二）由其他单位或者其他单位负责人在投标供应商编制的投标文件上加盖印章或者签字的。</w:t>
      </w:r>
    </w:p>
    <w:p>
      <w:pPr>
        <w:spacing w:line="360" w:lineRule="auto"/>
        <w:ind w:firstLine="420" w:firstLineChars="200"/>
        <w:rPr>
          <w:rFonts w:ascii="宋体" w:hAnsi="宋体"/>
          <w:szCs w:val="21"/>
        </w:rPr>
      </w:pPr>
      <w:r>
        <w:rPr>
          <w:rFonts w:hint="eastAsia" w:ascii="宋体" w:hAnsi="宋体"/>
          <w:szCs w:val="21"/>
        </w:rPr>
        <w:t>（三）项目负责人或者主要技术人员不是本单位人员的。</w:t>
      </w:r>
    </w:p>
    <w:p>
      <w:pPr>
        <w:spacing w:line="360" w:lineRule="auto"/>
        <w:ind w:firstLine="420" w:firstLineChars="200"/>
        <w:rPr>
          <w:rFonts w:ascii="宋体" w:hAnsi="宋体"/>
          <w:szCs w:val="21"/>
        </w:rPr>
      </w:pPr>
      <w:r>
        <w:rPr>
          <w:rFonts w:hint="eastAsia" w:ascii="宋体" w:hAnsi="宋体"/>
          <w:szCs w:val="21"/>
        </w:rPr>
        <w:t>（四）投标保证金不是从投标供应商基本账户转出的。</w:t>
      </w:r>
    </w:p>
    <w:p>
      <w:pPr>
        <w:spacing w:line="360" w:lineRule="auto"/>
        <w:ind w:firstLine="420" w:firstLineChars="200"/>
        <w:rPr>
          <w:rFonts w:ascii="宋体" w:hAnsi="宋体"/>
          <w:szCs w:val="21"/>
        </w:rPr>
      </w:pPr>
      <w:r>
        <w:rPr>
          <w:rFonts w:hint="eastAsia" w:ascii="宋体" w:hAnsi="宋体"/>
          <w:szCs w:val="21"/>
        </w:rPr>
        <w:t>（五）其他隐瞒真实情况、提供虚假资料的行为。</w:t>
      </w:r>
    </w:p>
    <w:p>
      <w:pPr>
        <w:spacing w:line="360" w:lineRule="auto"/>
        <w:ind w:firstLine="422" w:firstLineChars="200"/>
        <w:rPr>
          <w:rFonts w:ascii="宋体" w:hAnsi="宋体"/>
          <w:b/>
          <w:szCs w:val="21"/>
        </w:rPr>
      </w:pPr>
      <w:r>
        <w:rPr>
          <w:rFonts w:hint="eastAsia" w:ascii="宋体" w:hAnsi="宋体"/>
          <w:b/>
          <w:szCs w:val="21"/>
        </w:rPr>
        <w:t>二、本公司已充分知悉“与其他采购参加人串通投标”的法定情形，相关情形包括但不限于：</w:t>
      </w:r>
    </w:p>
    <w:p>
      <w:pPr>
        <w:spacing w:line="360" w:lineRule="auto"/>
        <w:ind w:firstLine="420" w:firstLineChars="200"/>
        <w:rPr>
          <w:rFonts w:ascii="宋体" w:hAnsi="宋体"/>
          <w:szCs w:val="21"/>
        </w:rPr>
      </w:pPr>
      <w:r>
        <w:rPr>
          <w:rFonts w:hint="eastAsia" w:ascii="宋体" w:hAnsi="宋体"/>
          <w:szCs w:val="21"/>
        </w:rPr>
        <w:t>（一）投标供应商之间相互约定给予未中标的供应商利益补偿。</w:t>
      </w:r>
    </w:p>
    <w:p>
      <w:pPr>
        <w:spacing w:line="360" w:lineRule="auto"/>
        <w:ind w:firstLine="420" w:firstLineChars="200"/>
        <w:rPr>
          <w:rFonts w:ascii="宋体" w:hAnsi="宋体"/>
          <w:szCs w:val="21"/>
        </w:rPr>
      </w:pPr>
      <w:r>
        <w:rPr>
          <w:rFonts w:hint="eastAsia" w:ascii="宋体" w:hAnsi="宋体"/>
          <w:szCs w:val="21"/>
        </w:rPr>
        <w:t>（二）不同投标供应商的法定代表人、主要经营负责人、项目投标授权代表人、项目负责人、主要技术人员为同一人、属同一单位或者在同一单位缴纳社会保险。</w:t>
      </w:r>
    </w:p>
    <w:p>
      <w:pPr>
        <w:spacing w:line="360" w:lineRule="auto"/>
        <w:ind w:firstLine="420" w:firstLineChars="200"/>
        <w:rPr>
          <w:rFonts w:ascii="宋体" w:hAnsi="宋体"/>
          <w:szCs w:val="21"/>
        </w:rPr>
      </w:pPr>
      <w:r>
        <w:rPr>
          <w:rFonts w:hint="eastAsia" w:ascii="宋体" w:hAnsi="宋体"/>
          <w:szCs w:val="21"/>
        </w:rPr>
        <w:t>（三）不同投标供应商的投标文件由同一单位或者同一人编制，或者由同一人分阶段参与编制的。</w:t>
      </w:r>
    </w:p>
    <w:p>
      <w:pPr>
        <w:spacing w:line="360" w:lineRule="auto"/>
        <w:ind w:firstLine="420" w:firstLineChars="200"/>
        <w:rPr>
          <w:rFonts w:ascii="宋体" w:hAnsi="宋体"/>
          <w:szCs w:val="21"/>
        </w:rPr>
      </w:pPr>
      <w:r>
        <w:rPr>
          <w:rFonts w:hint="eastAsia" w:ascii="宋体" w:hAnsi="宋体"/>
          <w:szCs w:val="21"/>
        </w:rPr>
        <w:t>（四）不同投标供应商的投标文件或部分投标文件相互混装。</w:t>
      </w:r>
    </w:p>
    <w:p>
      <w:pPr>
        <w:spacing w:line="360" w:lineRule="auto"/>
        <w:ind w:firstLine="420" w:firstLineChars="200"/>
        <w:rPr>
          <w:rFonts w:ascii="宋体" w:hAnsi="宋体"/>
          <w:szCs w:val="21"/>
        </w:rPr>
      </w:pPr>
      <w:r>
        <w:rPr>
          <w:rFonts w:hint="eastAsia" w:ascii="宋体" w:hAnsi="宋体"/>
          <w:szCs w:val="21"/>
        </w:rPr>
        <w:t>（五）不同投标供应商的投标文件内容存在非正常一致。</w:t>
      </w:r>
    </w:p>
    <w:p>
      <w:pPr>
        <w:spacing w:line="360" w:lineRule="auto"/>
        <w:ind w:firstLine="420" w:firstLineChars="200"/>
        <w:rPr>
          <w:rFonts w:ascii="宋体" w:hAnsi="宋体"/>
          <w:szCs w:val="21"/>
        </w:rPr>
      </w:pPr>
      <w:r>
        <w:rPr>
          <w:rFonts w:hint="eastAsia" w:ascii="宋体" w:hAnsi="宋体"/>
          <w:szCs w:val="21"/>
        </w:rPr>
        <w:t>（六）由同一单位工作人员为两家以上（含两家）供应商进行同一项投标活动的。</w:t>
      </w:r>
    </w:p>
    <w:p>
      <w:pPr>
        <w:spacing w:line="360" w:lineRule="auto"/>
        <w:ind w:firstLine="420" w:firstLineChars="200"/>
        <w:rPr>
          <w:rFonts w:ascii="宋体" w:hAnsi="宋体"/>
          <w:szCs w:val="21"/>
        </w:rPr>
      </w:pPr>
      <w:r>
        <w:rPr>
          <w:rFonts w:hint="eastAsia" w:ascii="宋体" w:hAnsi="宋体"/>
          <w:szCs w:val="21"/>
        </w:rPr>
        <w:t>（七）不同投标人的投标报价呈规律性差异。</w:t>
      </w:r>
    </w:p>
    <w:p>
      <w:pPr>
        <w:spacing w:line="360" w:lineRule="auto"/>
        <w:ind w:firstLine="420" w:firstLineChars="200"/>
        <w:rPr>
          <w:rFonts w:ascii="宋体" w:hAnsi="宋体"/>
          <w:szCs w:val="21"/>
        </w:rPr>
      </w:pPr>
      <w:r>
        <w:rPr>
          <w:rFonts w:hint="eastAsia" w:ascii="宋体" w:hAnsi="宋体"/>
          <w:szCs w:val="21"/>
        </w:rPr>
        <w:t>（八）不同投标人的投标保证金从同一单位或者个人的账户转出。</w:t>
      </w:r>
    </w:p>
    <w:p>
      <w:pPr>
        <w:spacing w:line="360" w:lineRule="auto"/>
        <w:ind w:firstLine="420" w:firstLineChars="200"/>
        <w:rPr>
          <w:rFonts w:ascii="宋体" w:hAnsi="宋体"/>
          <w:szCs w:val="21"/>
        </w:rPr>
      </w:pPr>
      <w:r>
        <w:rPr>
          <w:rFonts w:hint="eastAsia" w:ascii="宋体" w:hAnsi="宋体"/>
          <w:szCs w:val="21"/>
        </w:rPr>
        <w:t>（九）主管部门依照法律、法规认定的其他情形。</w:t>
      </w:r>
    </w:p>
    <w:p>
      <w:pPr>
        <w:spacing w:line="360" w:lineRule="auto"/>
        <w:ind w:firstLine="422" w:firstLineChars="200"/>
        <w:rPr>
          <w:rFonts w:ascii="宋体" w:hAnsi="宋体"/>
          <w:b/>
          <w:szCs w:val="21"/>
        </w:rPr>
      </w:pPr>
      <w:r>
        <w:rPr>
          <w:rFonts w:hint="eastAsia" w:ascii="宋体" w:hAnsi="宋体"/>
          <w:b/>
          <w:szCs w:val="21"/>
        </w:rPr>
        <w:t>三、本公司已充分知悉下列情形所对应的法律风险，并在投标前已对相关风险事项进行排查。</w:t>
      </w:r>
    </w:p>
    <w:p>
      <w:pPr>
        <w:spacing w:line="360" w:lineRule="auto"/>
        <w:ind w:firstLine="420" w:firstLineChars="200"/>
        <w:rPr>
          <w:rFonts w:ascii="宋体" w:hAnsi="宋体"/>
          <w:b/>
          <w:szCs w:val="21"/>
        </w:rPr>
      </w:pPr>
      <w:r>
        <w:rPr>
          <w:rFonts w:hint="eastAsia" w:ascii="宋体" w:hAnsi="宋体"/>
          <w:szCs w:val="21"/>
        </w:rPr>
        <w:t>（一）对于从其他主体获取的投标资料，供应商应审慎核查，确保投标资料的真实性。</w:t>
      </w:r>
      <w:r>
        <w:rPr>
          <w:rFonts w:hint="eastAsia" w:ascii="宋体" w:hAnsi="宋体"/>
          <w:b/>
          <w:szCs w:val="21"/>
        </w:rPr>
        <w:t>如主管部门查实投标文件中存在虚假资料的，无论相关资料是否由第三方或本公司员工提供，均不影响主管部门对供应商存在“隐瞒真实情况，提供虚假资料”违法行为的认定。</w:t>
      </w:r>
    </w:p>
    <w:p>
      <w:pPr>
        <w:spacing w:line="360" w:lineRule="auto"/>
        <w:ind w:firstLine="420" w:firstLineChars="200"/>
        <w:rPr>
          <w:rFonts w:ascii="宋体" w:hAnsi="宋体"/>
          <w:szCs w:val="21"/>
        </w:rPr>
      </w:pPr>
      <w:r>
        <w:rPr>
          <w:rFonts w:hint="eastAsia" w:ascii="宋体" w:hAnsi="宋体"/>
          <w:szCs w:val="21"/>
        </w:rPr>
        <w:t>（二）对于涉及国家机关出具的公文、证件、证明材料等文件，一旦涉嫌虚假，经查实，主管部门将依法从严处理，并移送有关部门追究法律责任；涉嫌犯罪的，主管部门将一并移送司法机关追究法律责任。</w:t>
      </w:r>
    </w:p>
    <w:p>
      <w:pPr>
        <w:spacing w:line="360" w:lineRule="auto"/>
        <w:ind w:firstLine="420" w:firstLineChars="200"/>
        <w:rPr>
          <w:rFonts w:ascii="宋体" w:hAnsi="宋体"/>
          <w:szCs w:val="21"/>
        </w:rPr>
      </w:pPr>
      <w:r>
        <w:rPr>
          <w:rFonts w:hint="eastAsia" w:ascii="宋体" w:hAnsi="宋体"/>
          <w:szCs w:val="21"/>
        </w:rPr>
        <w:t>（三）对于涉及安全生产、特种作业、抢险救灾、防疫等政府采购项目，供应商实施提供虚假资料、串通投标等违法行为的，主管部门将依法从严处理。</w:t>
      </w:r>
    </w:p>
    <w:p>
      <w:pPr>
        <w:spacing w:line="360" w:lineRule="auto"/>
        <w:ind w:firstLine="420" w:firstLineChars="200"/>
        <w:rPr>
          <w:rFonts w:ascii="宋体" w:hAnsi="宋体"/>
          <w:szCs w:val="21"/>
        </w:rPr>
      </w:pPr>
      <w:r>
        <w:rPr>
          <w:rFonts w:hint="eastAsia" w:ascii="宋体" w:hAnsi="宋体"/>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spacing w:line="360" w:lineRule="auto"/>
        <w:ind w:firstLine="420" w:firstLineChars="200"/>
        <w:rPr>
          <w:rFonts w:ascii="宋体" w:hAnsi="宋体"/>
          <w:szCs w:val="21"/>
        </w:rPr>
      </w:pPr>
      <w:r>
        <w:rPr>
          <w:rFonts w:hint="eastAsia" w:ascii="宋体" w:hAnsi="宋体"/>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spacing w:line="360" w:lineRule="auto"/>
        <w:ind w:firstLine="420" w:firstLineChars="200"/>
        <w:rPr>
          <w:rFonts w:ascii="宋体" w:hAnsi="宋体"/>
          <w:szCs w:val="21"/>
        </w:rPr>
      </w:pPr>
      <w:r>
        <w:rPr>
          <w:rFonts w:hint="eastAsia" w:ascii="宋体" w:hAnsi="宋体"/>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spacing w:line="360" w:lineRule="auto"/>
        <w:ind w:firstLine="422" w:firstLineChars="200"/>
        <w:rPr>
          <w:rFonts w:ascii="宋体" w:hAnsi="宋体"/>
          <w:szCs w:val="21"/>
        </w:rPr>
      </w:pPr>
      <w:r>
        <w:rPr>
          <w:rFonts w:hint="eastAsia" w:ascii="宋体" w:hAnsi="宋体"/>
          <w:b/>
          <w:szCs w:val="21"/>
        </w:rPr>
        <w:t>四、本公司已充分知悉政府采购违法、违规行为的法律后果。</w:t>
      </w:r>
      <w:r>
        <w:rPr>
          <w:rFonts w:hint="eastAsia" w:ascii="宋体" w:hAnsi="宋体"/>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p>
    <w:p>
      <w:pPr>
        <w:spacing w:line="360" w:lineRule="auto"/>
        <w:ind w:firstLine="422" w:firstLineChars="200"/>
        <w:rPr>
          <w:rFonts w:ascii="宋体" w:hAnsi="宋体"/>
          <w:b/>
          <w:szCs w:val="21"/>
        </w:rPr>
      </w:pPr>
      <w:r>
        <w:rPr>
          <w:rFonts w:hint="eastAsia" w:ascii="宋体" w:hAnsi="宋体"/>
          <w:b/>
          <w:szCs w:val="21"/>
        </w:rPr>
        <w:t>以下文字请投标供应商抄写并确认：“本公司已仔细阅读《政府采购违法行为风险知悉确认书》，充分知悉违法行为的法律后果，并承诺将严谨、诚信、依法依规参与政府采购活动”。</w:t>
      </w:r>
    </w:p>
    <w:p>
      <w:pPr>
        <w:spacing w:line="360" w:lineRule="auto"/>
        <w:ind w:firstLine="420" w:firstLineChars="200"/>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rPr>
          <w:rFonts w:ascii="宋体" w:hAnsi="宋体" w:eastAsiaTheme="minorEastAsia" w:cstheme="minorBidi"/>
          <w:szCs w:val="21"/>
          <w:u w:val="single"/>
        </w:rPr>
      </w:pPr>
      <w:r>
        <w:rPr>
          <w:rFonts w:hint="eastAsia" w:ascii="宋体" w:hAnsi="宋体" w:eastAsiaTheme="minorEastAsia" w:cstheme="minorBidi"/>
          <w:szCs w:val="21"/>
          <w:u w:val="single"/>
        </w:rPr>
        <w:t xml:space="preserve">                                                                                            </w:t>
      </w:r>
    </w:p>
    <w:p>
      <w:pPr>
        <w:spacing w:line="360" w:lineRule="auto"/>
        <w:ind w:firstLine="420" w:firstLineChars="200"/>
        <w:rPr>
          <w:rFonts w:ascii="宋体" w:hAnsi="宋体"/>
          <w:szCs w:val="21"/>
          <w:u w:val="single"/>
        </w:rPr>
      </w:pPr>
    </w:p>
    <w:p>
      <w:pPr>
        <w:spacing w:line="360" w:lineRule="auto"/>
        <w:ind w:firstLine="420" w:firstLineChars="200"/>
        <w:rPr>
          <w:rFonts w:ascii="宋体" w:hAnsi="宋体"/>
          <w:szCs w:val="21"/>
        </w:rPr>
      </w:pPr>
      <w:r>
        <w:rPr>
          <w:rFonts w:hint="eastAsia" w:ascii="宋体" w:hAnsi="宋体"/>
          <w:szCs w:val="21"/>
        </w:rPr>
        <w:t>负责人</w:t>
      </w:r>
      <w:r>
        <w:rPr>
          <w:rFonts w:ascii="宋体" w:hAnsi="宋体"/>
          <w:szCs w:val="21"/>
        </w:rPr>
        <w:t>/</w:t>
      </w:r>
      <w:r>
        <w:rPr>
          <w:rFonts w:hint="eastAsia" w:ascii="宋体" w:hAnsi="宋体"/>
          <w:szCs w:val="21"/>
        </w:rPr>
        <w:t>投标授权代表签名：</w:t>
      </w:r>
    </w:p>
    <w:p>
      <w:pPr>
        <w:spacing w:line="360" w:lineRule="auto"/>
        <w:ind w:firstLine="420" w:firstLineChars="200"/>
        <w:rPr>
          <w:rFonts w:ascii="宋体" w:hAnsi="宋体"/>
          <w:szCs w:val="21"/>
        </w:rPr>
      </w:pPr>
      <w:r>
        <w:rPr>
          <w:rFonts w:hint="eastAsia" w:ascii="宋体" w:hAnsi="宋体"/>
          <w:szCs w:val="21"/>
        </w:rPr>
        <w:t>知悉人（公章）：</w:t>
      </w:r>
    </w:p>
    <w:p>
      <w:pPr>
        <w:spacing w:line="360" w:lineRule="auto"/>
        <w:ind w:firstLine="420" w:firstLineChars="200"/>
        <w:rPr>
          <w:rFonts w:ascii="宋体" w:hAnsi="宋体"/>
          <w:szCs w:val="21"/>
        </w:rPr>
      </w:pPr>
      <w:r>
        <w:rPr>
          <w:rFonts w:hint="eastAsia" w:ascii="宋体" w:hAnsi="宋体"/>
          <w:szCs w:val="21"/>
        </w:rPr>
        <w:t>日期：</w:t>
      </w:r>
    </w:p>
    <w:p>
      <w:pPr>
        <w:spacing w:line="360" w:lineRule="auto"/>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widowControl/>
        <w:jc w:val="left"/>
        <w:rPr>
          <w:rFonts w:ascii="宋体" w:hAnsi="宋体"/>
          <w:szCs w:val="21"/>
        </w:rPr>
      </w:pPr>
    </w:p>
    <w:p>
      <w:pPr>
        <w:pStyle w:val="4"/>
        <w:spacing w:line="400" w:lineRule="exact"/>
        <w:rPr>
          <w:rFonts w:ascii="仿宋" w:hAnsi="仿宋" w:eastAsia="仿宋"/>
        </w:rPr>
      </w:pPr>
      <w:bookmarkStart w:id="50" w:name="_Toc110410307"/>
      <w:r>
        <w:rPr>
          <w:rFonts w:hint="eastAsia" w:ascii="仿宋" w:hAnsi="仿宋" w:eastAsia="仿宋"/>
        </w:rPr>
        <w:t>评标指引表</w:t>
      </w:r>
      <w:bookmarkEnd w:id="49"/>
      <w:bookmarkEnd w:id="50"/>
    </w:p>
    <w:p>
      <w:pPr>
        <w:jc w:val="center"/>
        <w:rPr>
          <w:b/>
          <w:szCs w:val="21"/>
        </w:rPr>
      </w:pPr>
    </w:p>
    <w:p>
      <w:pPr>
        <w:spacing w:line="360" w:lineRule="auto"/>
        <w:ind w:firstLine="420" w:firstLineChars="200"/>
        <w:rPr>
          <w:rFonts w:ascii="宋体" w:hAnsi="宋体"/>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auto"/>
        <w:ind w:firstLine="420" w:firstLineChars="200"/>
        <w:rPr>
          <w:rFonts w:ascii="宋体" w:hAnsi="宋体"/>
          <w:szCs w:val="21"/>
        </w:rPr>
      </w:pP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854"/>
        <w:gridCol w:w="2169"/>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854"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169"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854" w:type="dxa"/>
            <w:vAlign w:val="center"/>
          </w:tcPr>
          <w:p>
            <w:pPr>
              <w:rPr>
                <w:rFonts w:asciiTheme="minorEastAsia" w:hAnsiTheme="minorEastAsia" w:eastAsiaTheme="minorEastAsia"/>
              </w:rPr>
            </w:pPr>
            <w:r>
              <w:rPr>
                <w:rFonts w:hint="eastAsia" w:asciiTheme="minorEastAsia" w:hAnsiTheme="minorEastAsia" w:eastAsiaTheme="minorEastAsia"/>
                <w:szCs w:val="21"/>
              </w:rPr>
              <w:t>《节能产品政府采购品目清单》或《环境标志产品政府采购品目清单》中列示的产品，或</w:t>
            </w: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854" w:type="dxa"/>
          </w:tcPr>
          <w:p>
            <w:pPr>
              <w:spacing w:line="360" w:lineRule="exact"/>
              <w:jc w:val="center"/>
              <w:rPr>
                <w:rFonts w:ascii="宋体" w:hAnsi="宋体"/>
                <w:szCs w:val="21"/>
              </w:rPr>
            </w:pPr>
            <w:r>
              <w:rPr>
                <w:rFonts w:hint="eastAsia" w:ascii="宋体" w:hAnsi="宋体"/>
                <w:szCs w:val="21"/>
              </w:rPr>
              <w:t>1.……</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2.……</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854" w:type="dxa"/>
          </w:tcPr>
          <w:p>
            <w:pPr>
              <w:spacing w:line="360" w:lineRule="exact"/>
              <w:jc w:val="center"/>
              <w:rPr>
                <w:rFonts w:ascii="宋体" w:hAnsi="宋体"/>
                <w:szCs w:val="21"/>
              </w:rPr>
            </w:pPr>
            <w:r>
              <w:rPr>
                <w:rFonts w:hint="eastAsia" w:ascii="宋体" w:hAnsi="宋体"/>
                <w:szCs w:val="21"/>
              </w:rPr>
              <w:t>……</w:t>
            </w:r>
          </w:p>
        </w:tc>
        <w:tc>
          <w:tcPr>
            <w:tcW w:w="2169"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ind w:firstLine="424" w:firstLineChars="201"/>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2"/>
        <w:jc w:val="center"/>
      </w:pPr>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1" w:name="_Toc44690705"/>
      <w:bookmarkStart w:id="52" w:name="_Toc44691164"/>
      <w:bookmarkStart w:id="53" w:name="_Toc44690432"/>
      <w:bookmarkStart w:id="54" w:name="_Toc44691396"/>
      <w:r>
        <w:rPr>
          <w:rFonts w:hint="eastAsia" w:asciiTheme="minorEastAsia" w:hAnsiTheme="minorEastAsia" w:eastAsiaTheme="minorEastAsia"/>
          <w:sz w:val="24"/>
        </w:rPr>
        <w:t>格式1  投标人资格证明文件</w:t>
      </w:r>
      <w:bookmarkEnd w:id="51"/>
      <w:bookmarkEnd w:id="52"/>
      <w:bookmarkEnd w:id="53"/>
      <w:bookmarkEnd w:id="54"/>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w:t>
      </w:r>
      <w:r>
        <w:rPr>
          <w:rFonts w:hint="eastAsia" w:asciiTheme="minorEastAsia" w:hAnsiTheme="minorEastAsia" w:eastAsiaTheme="minorEastAsia"/>
          <w:snapToGrid w:val="0"/>
        </w:rPr>
        <w:t>国家企业信用信息公示系统（https://www.gsxt.gov.cn/index.html）、机关赋码和事业单位登记管理网（http://www.gjsy.gov.cn/sydwfrxxcx/）或全国社会组织信用信息公示平台（https://xxgs.chinanpo.mca.gov.cn/gsxt/newList）网站截图</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rPr>
          <w:rFonts w:ascii="宋体" w:hAnsi="宋体"/>
          <w:bCs/>
          <w:snapToGrid w:val="0"/>
          <w:kern w:val="0"/>
        </w:rPr>
      </w:pPr>
    </w:p>
    <w:p>
      <w:pPr>
        <w:adjustRightInd w:val="0"/>
        <w:snapToGrid w:val="0"/>
        <w:spacing w:line="360" w:lineRule="auto"/>
        <w:ind w:firstLine="424" w:firstLineChars="201"/>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00" w:lineRule="auto"/>
        <w:jc w:val="center"/>
        <w:rPr>
          <w:b/>
          <w:snapToGrid w:val="0"/>
          <w:sz w:val="32"/>
          <w:szCs w:val="32"/>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法定代表人（负责人）证明书及授权委托书</w:t>
      </w:r>
    </w:p>
    <w:p>
      <w:pPr>
        <w:adjustRightInd w:val="0"/>
        <w:snapToGrid w:val="0"/>
        <w:spacing w:line="300" w:lineRule="auto"/>
        <w:jc w:val="center"/>
        <w:rPr>
          <w:b/>
          <w:snapToGrid w:val="0"/>
          <w:sz w:val="32"/>
          <w:szCs w:val="32"/>
        </w:rPr>
      </w:pPr>
    </w:p>
    <w:p>
      <w:pPr>
        <w:tabs>
          <w:tab w:val="left" w:pos="450"/>
        </w:tabs>
        <w:jc w:val="center"/>
        <w:rPr>
          <w:rFonts w:ascii="宋体" w:hAnsi="宋体"/>
          <w:b/>
          <w:sz w:val="28"/>
          <w:szCs w:val="28"/>
        </w:rPr>
      </w:pPr>
      <w:r>
        <w:rPr>
          <w:rFonts w:hint="eastAsia" w:ascii="宋体" w:hAnsi="宋体"/>
          <w:b/>
          <w:sz w:val="28"/>
          <w:szCs w:val="28"/>
        </w:rPr>
        <w:t>法定代表人（负责人）证明书（参考）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职务，为法定代表人（负责人），特此证明。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6336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6"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6336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Oy27ZfYAAAACgEAAA8AAAAAAAAAAQAgAAAAIgAAAGRycy9kb3ducmV2LnhtbFBL&#10;AQIUABQAAAAIAIdO4kB4bL+1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法定代表人（负责人）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6233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5"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6233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KoqsNb2AQAALQ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A1nBjQ1/CeJBqZXyD4leUYX&#10;aop6dA/+7AUyE9ep8zr9iQWbsqSni6Q4RSZo82O5uq1KUlvQWXW3qmgEEmrxfN35EL+i1SwZDfeU&#10;PksJx28hzqF/QlK2YJVsd1Kp7Ph+/1l5dgTq7y5/Z/RXYcqwseF3N0siKYCGtqNhIVM7Ih5Mn/O9&#10;uhFeApf5+xdwKmwLYZgLyAgpDGotI/psDQjtF9OyeHIkrqE3xVMxGlvOFNITTFaOjCDVNZGknTIk&#10;YerM3ItkxWk/EUwy97Y9UVcPzst+IEmrXHo6oSnK2p8nPo3pSz+DPr/yz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Jf1/F2QAAAAoBAAAPAAAAAAAAAAEAIAAAACIAAABkcnMvZG93bnJldi54bWxQ&#10;SwECFAAUAAAACACHTuJAqiqw1vYBAAAtBAAADgAAAAAAAAABACAAAAAoAQAAZHJzL2Uyb0RvYy54&#10;bWxQSwUGAAAAAAYABgBZAQAAkAUAAAAA&#10;">
                <v:fill on="t" focussize="0,0"/>
                <v:stroke color="#000000" joinstyle="miter"/>
                <v:imagedata o:title=""/>
                <o:lock v:ext="edit" aspectratio="f"/>
                <v:textbox>
                  <w:txbxContent>
                    <w:p>
                      <w:pPr>
                        <w:ind w:firstLine="1260" w:firstLineChars="600"/>
                        <w:jc w:val="left"/>
                      </w:pPr>
                      <w:r>
                        <w:rPr>
                          <w:rFonts w:hint="eastAsia"/>
                        </w:rPr>
                        <w:t>法定代表人（负责人）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法定代表人（负责人）授权委托书（参考）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法定代表人（负责人）：（签字）</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5" w:name="_Toc226217114"/>
      <w:r>
        <w:rPr>
          <w:rFonts w:ascii="宋体"/>
        </w:rPr>
        <mc:AlternateContent>
          <mc:Choice Requires="wps">
            <w:drawing>
              <wp:anchor distT="0" distB="0" distL="114300" distR="114300" simplePos="0" relativeHeight="25166028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3"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6028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CKzznG9gEAAC0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6131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4"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6131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HFivbPcBAAAt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5"/>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pPr>
      <w:r>
        <w:rPr>
          <w:rFonts w:hint="eastAsia" w:asciiTheme="majorEastAsia" w:hAnsiTheme="majorEastAsia" w:eastAsiaTheme="majorEastAsia"/>
          <w:b/>
          <w:sz w:val="24"/>
        </w:rPr>
        <w:t>注：法定代表人（负责人）证明书和法定代表人（负责人）授权委托书除装订于投标文件中外，还须另置一份按“投标人须知”18.4项要求单独密封。</w:t>
      </w:r>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6．我单位愿按《中华人民共和国民法典》履行自己的全部责任。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提供的货物全部由符合政策要求的中小企业制造</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hint="eastAsia" w:asciiTheme="minorEastAsia" w:hAnsiTheme="minorEastAsia" w:eastAsiaTheme="minorEastAsia"/>
          <w:szCs w:val="21"/>
        </w:rPr>
        <w:t>行业</w:t>
      </w:r>
      <w:r>
        <w:rPr>
          <w:rFonts w:asciiTheme="minorEastAsia" w:hAnsiTheme="minorEastAsia" w:eastAsiaTheme="minorEastAsia"/>
          <w:szCs w:val="21"/>
        </w:rPr>
        <w:t>；</w:t>
      </w:r>
      <w:r>
        <w:rPr>
          <w:rFonts w:hint="eastAsia" w:asciiTheme="minorEastAsia" w:hAnsiTheme="minorEastAsia" w:eastAsiaTheme="minorEastAsia"/>
          <w:szCs w:val="21"/>
        </w:rPr>
        <w:t>制造商</w:t>
      </w:r>
      <w:r>
        <w:rPr>
          <w:rFonts w:asciiTheme="minorEastAsia" w:hAnsiTheme="minorEastAsia" w:eastAsiaTheme="minorEastAsia"/>
          <w:szCs w:val="21"/>
        </w:rPr>
        <w:t>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before="108" w:line="304" w:lineRule="auto"/>
        <w:ind w:right="-1" w:firstLine="408"/>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spacing w:line="360" w:lineRule="auto"/>
        <w:ind w:right="-1" w:firstLine="420" w:firstLineChars="200"/>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jc w:val="right"/>
        <w:rPr>
          <w:rFonts w:ascii="宋体" w:hAnsi="宋体"/>
          <w:szCs w:val="21"/>
        </w:rPr>
      </w:pPr>
      <w:r>
        <w:rPr>
          <w:rFonts w:hint="eastAsia" w:ascii="宋体" w:hAnsi="宋体"/>
          <w:szCs w:val="21"/>
        </w:rPr>
        <w:t>企业名称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r>
        <w:rPr>
          <w:rFonts w:hint="eastAsia" w:ascii="宋体" w:hAnsi="宋体"/>
          <w:szCs w:val="21"/>
        </w:rPr>
        <w:t>3、供应商提供的货物既有中小企业制造货物，也有大型企业制造货物的，不享受中小企业扶持政策。</w:t>
      </w:r>
    </w:p>
    <w:p>
      <w:pPr>
        <w:pStyle w:val="5"/>
        <w:tabs>
          <w:tab w:val="left" w:pos="0"/>
        </w:tabs>
        <w:jc w:val="center"/>
        <w:rPr>
          <w:rFonts w:ascii="宋体" w:hAnsi="宋体" w:eastAsia="宋体"/>
        </w:rPr>
      </w:pPr>
      <w:r>
        <w:rPr>
          <w:rFonts w:hint="eastAsia" w:ascii="宋体" w:hAnsi="宋体" w:eastAsia="宋体"/>
        </w:rPr>
        <w:t>监狱企业声明函</w:t>
      </w:r>
    </w:p>
    <w:p>
      <w:pPr>
        <w:spacing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项目采购活动提供本单位制造的货物，或者提供其他残疾人福利性单位制造的货物（不包括使用非残疾人福利性单位注册商标的货物）。</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jc w:val="left"/>
        <w:rPr>
          <w:rFonts w:ascii="宋体" w:hAnsi="宋体"/>
          <w:szCs w:val="21"/>
        </w:rPr>
      </w:pPr>
      <w:r>
        <w:rPr>
          <w:rFonts w:hint="eastAsia" w:ascii="宋体" w:hAnsi="宋体"/>
          <w:szCs w:val="21"/>
        </w:rPr>
        <w:t xml:space="preserve">    备注：填写前请认真阅读《财政部、民政部、中国残疾人联合会关于促进残疾人就业政府采购政策的通知》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pStyle w:val="5"/>
        <w:tabs>
          <w:tab w:val="left" w:pos="0"/>
        </w:tabs>
        <w:jc w:val="center"/>
        <w:rPr>
          <w:rFonts w:ascii="宋体" w:hAnsi="宋体" w:eastAsia="宋体"/>
        </w:rPr>
      </w:pPr>
      <w:r>
        <w:rPr>
          <w:rFonts w:hint="eastAsia" w:ascii="宋体" w:hAnsi="宋体" w:eastAsia="宋体"/>
        </w:rPr>
        <w:t>列入政府优先采购清单的投标产品一览表</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13"/>
        <w:gridCol w:w="1840"/>
        <w:gridCol w:w="818"/>
        <w:gridCol w:w="989"/>
        <w:gridCol w:w="1080"/>
        <w:gridCol w:w="1464"/>
        <w:gridCol w:w="1503"/>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restart"/>
            <w:vAlign w:val="center"/>
          </w:tcPr>
          <w:p>
            <w:pPr>
              <w:rPr>
                <w:b/>
                <w:szCs w:val="21"/>
              </w:rPr>
            </w:pPr>
            <w:r>
              <w:rPr>
                <w:rFonts w:hint="eastAsia"/>
                <w:b/>
                <w:szCs w:val="21"/>
              </w:rPr>
              <w:t>序号</w:t>
            </w:r>
          </w:p>
        </w:tc>
        <w:tc>
          <w:tcPr>
            <w:tcW w:w="1213" w:type="dxa"/>
            <w:vMerge w:val="restart"/>
            <w:vAlign w:val="center"/>
          </w:tcPr>
          <w:p>
            <w:pPr>
              <w:jc w:val="center"/>
              <w:rPr>
                <w:b/>
                <w:szCs w:val="21"/>
              </w:rPr>
            </w:pPr>
            <w:r>
              <w:rPr>
                <w:rFonts w:hint="eastAsia"/>
                <w:b/>
                <w:szCs w:val="21"/>
              </w:rPr>
              <w:t>投标产品名称</w:t>
            </w:r>
          </w:p>
        </w:tc>
        <w:tc>
          <w:tcPr>
            <w:tcW w:w="1840" w:type="dxa"/>
            <w:vMerge w:val="restart"/>
            <w:vAlign w:val="center"/>
          </w:tcPr>
          <w:p>
            <w:pPr>
              <w:jc w:val="center"/>
              <w:rPr>
                <w:b/>
                <w:szCs w:val="21"/>
              </w:rPr>
            </w:pPr>
            <w:r>
              <w:rPr>
                <w:rFonts w:hint="eastAsia"/>
                <w:b/>
                <w:szCs w:val="21"/>
              </w:rPr>
              <w:t>规格及型号</w:t>
            </w:r>
          </w:p>
        </w:tc>
        <w:tc>
          <w:tcPr>
            <w:tcW w:w="4351" w:type="dxa"/>
            <w:gridSpan w:val="4"/>
          </w:tcPr>
          <w:p>
            <w:pPr>
              <w:jc w:val="center"/>
              <w:rPr>
                <w:b/>
                <w:szCs w:val="21"/>
              </w:rPr>
            </w:pPr>
            <w:r>
              <w:rPr>
                <w:rFonts w:hint="eastAsia"/>
                <w:b/>
                <w:szCs w:val="21"/>
              </w:rPr>
              <w:t>该投标产品报价及占投标总价的比例</w:t>
            </w:r>
          </w:p>
        </w:tc>
        <w:tc>
          <w:tcPr>
            <w:tcW w:w="1503" w:type="dxa"/>
            <w:vMerge w:val="restart"/>
            <w:vAlign w:val="center"/>
          </w:tcPr>
          <w:p>
            <w:pPr>
              <w:rPr>
                <w:b/>
                <w:szCs w:val="21"/>
              </w:rPr>
            </w:pPr>
            <w:r>
              <w:rPr>
                <w:rFonts w:hint="eastAsia"/>
                <w:b/>
                <w:szCs w:val="21"/>
              </w:rPr>
              <w:t>属于优先采购清单的类别</w:t>
            </w:r>
          </w:p>
        </w:tc>
        <w:tc>
          <w:tcPr>
            <w:tcW w:w="720" w:type="dxa"/>
            <w:vMerge w:val="restart"/>
            <w:vAlign w:val="center"/>
          </w:tcPr>
          <w:p>
            <w:pPr>
              <w:rPr>
                <w:b/>
                <w:szCs w:val="21"/>
              </w:rPr>
            </w:pPr>
            <w:r>
              <w:rPr>
                <w:rFonts w:hint="eastAsia"/>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vMerge w:val="continue"/>
            <w:vAlign w:val="center"/>
          </w:tcPr>
          <w:p>
            <w:pPr>
              <w:rPr>
                <w:szCs w:val="21"/>
              </w:rPr>
            </w:pPr>
          </w:p>
        </w:tc>
        <w:tc>
          <w:tcPr>
            <w:tcW w:w="1213" w:type="dxa"/>
            <w:vMerge w:val="continue"/>
            <w:vAlign w:val="center"/>
          </w:tcPr>
          <w:p>
            <w:pPr>
              <w:rPr>
                <w:szCs w:val="21"/>
              </w:rPr>
            </w:pPr>
          </w:p>
        </w:tc>
        <w:tc>
          <w:tcPr>
            <w:tcW w:w="1840" w:type="dxa"/>
            <w:vMerge w:val="continue"/>
            <w:vAlign w:val="center"/>
          </w:tcPr>
          <w:p>
            <w:pPr>
              <w:rPr>
                <w:szCs w:val="21"/>
              </w:rPr>
            </w:pPr>
          </w:p>
        </w:tc>
        <w:tc>
          <w:tcPr>
            <w:tcW w:w="818" w:type="dxa"/>
            <w:vAlign w:val="center"/>
          </w:tcPr>
          <w:p>
            <w:pPr>
              <w:rPr>
                <w:szCs w:val="21"/>
              </w:rPr>
            </w:pPr>
            <w:r>
              <w:rPr>
                <w:rFonts w:hint="eastAsia"/>
                <w:szCs w:val="21"/>
              </w:rPr>
              <w:t>数量</w:t>
            </w:r>
          </w:p>
        </w:tc>
        <w:tc>
          <w:tcPr>
            <w:tcW w:w="989" w:type="dxa"/>
            <w:vAlign w:val="center"/>
          </w:tcPr>
          <w:p>
            <w:pPr>
              <w:rPr>
                <w:szCs w:val="21"/>
              </w:rPr>
            </w:pPr>
            <w:r>
              <w:rPr>
                <w:rFonts w:hint="eastAsia"/>
                <w:szCs w:val="21"/>
              </w:rPr>
              <w:t>投标单价（元）</w:t>
            </w:r>
          </w:p>
        </w:tc>
        <w:tc>
          <w:tcPr>
            <w:tcW w:w="1080" w:type="dxa"/>
            <w:vAlign w:val="center"/>
          </w:tcPr>
          <w:p>
            <w:pPr>
              <w:rPr>
                <w:szCs w:val="21"/>
              </w:rPr>
            </w:pPr>
            <w:r>
              <w:rPr>
                <w:rFonts w:hint="eastAsia"/>
                <w:szCs w:val="21"/>
              </w:rPr>
              <w:t>投标合计报价（元）</w:t>
            </w:r>
          </w:p>
        </w:tc>
        <w:tc>
          <w:tcPr>
            <w:tcW w:w="1464" w:type="dxa"/>
            <w:vAlign w:val="center"/>
          </w:tcPr>
          <w:p>
            <w:pPr>
              <w:rPr>
                <w:szCs w:val="21"/>
              </w:rPr>
            </w:pPr>
            <w:r>
              <w:rPr>
                <w:rFonts w:hint="eastAsia"/>
                <w:szCs w:val="21"/>
              </w:rPr>
              <w:t>占投标总价的比例（%）</w:t>
            </w:r>
          </w:p>
        </w:tc>
        <w:tc>
          <w:tcPr>
            <w:tcW w:w="1503" w:type="dxa"/>
            <w:vMerge w:val="continue"/>
            <w:vAlign w:val="center"/>
          </w:tcPr>
          <w:p>
            <w:pPr>
              <w:rPr>
                <w:szCs w:val="21"/>
              </w:rPr>
            </w:pPr>
          </w:p>
        </w:tc>
        <w:tc>
          <w:tcPr>
            <w:tcW w:w="720" w:type="dxa"/>
            <w:vMerge w:val="continue"/>
            <w:vAlign w:val="center"/>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1</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40" w:type="dxa"/>
          </w:tcPr>
          <w:p>
            <w:pPr>
              <w:rPr>
                <w:rFonts w:ascii="宋体" w:hAnsi="宋体"/>
                <w:szCs w:val="21"/>
              </w:rPr>
            </w:pPr>
            <w:r>
              <w:rPr>
                <w:rFonts w:hint="eastAsia" w:ascii="宋体" w:hAnsi="宋体"/>
                <w:szCs w:val="21"/>
              </w:rPr>
              <w:t>2</w:t>
            </w:r>
          </w:p>
        </w:tc>
        <w:tc>
          <w:tcPr>
            <w:tcW w:w="1213" w:type="dxa"/>
          </w:tcPr>
          <w:p>
            <w:pPr>
              <w:rPr>
                <w:szCs w:val="21"/>
              </w:rPr>
            </w:pPr>
          </w:p>
        </w:tc>
        <w:tc>
          <w:tcPr>
            <w:tcW w:w="1840" w:type="dxa"/>
          </w:tcPr>
          <w:p>
            <w:pPr>
              <w:rPr>
                <w:szCs w:val="21"/>
              </w:rPr>
            </w:pPr>
          </w:p>
        </w:tc>
        <w:tc>
          <w:tcPr>
            <w:tcW w:w="818" w:type="dxa"/>
          </w:tcPr>
          <w:p>
            <w:pPr>
              <w:rPr>
                <w:szCs w:val="21"/>
              </w:rPr>
            </w:pPr>
          </w:p>
        </w:tc>
        <w:tc>
          <w:tcPr>
            <w:tcW w:w="989" w:type="dxa"/>
          </w:tcPr>
          <w:p>
            <w:pPr>
              <w:rPr>
                <w:szCs w:val="21"/>
              </w:rPr>
            </w:pPr>
          </w:p>
        </w:tc>
        <w:tc>
          <w:tcPr>
            <w:tcW w:w="1080" w:type="dxa"/>
          </w:tcPr>
          <w:p>
            <w:pPr>
              <w:rPr>
                <w:szCs w:val="21"/>
              </w:rPr>
            </w:pPr>
          </w:p>
        </w:tc>
        <w:tc>
          <w:tcPr>
            <w:tcW w:w="1464" w:type="dxa"/>
          </w:tcPr>
          <w:p>
            <w:pPr>
              <w:rPr>
                <w:szCs w:val="21"/>
              </w:rPr>
            </w:pPr>
          </w:p>
        </w:tc>
        <w:tc>
          <w:tcPr>
            <w:tcW w:w="1503" w:type="dxa"/>
          </w:tcPr>
          <w:p>
            <w:pPr>
              <w:rPr>
                <w:szCs w:val="21"/>
              </w:rPr>
            </w:pPr>
          </w:p>
        </w:tc>
        <w:tc>
          <w:tcPr>
            <w:tcW w:w="720" w:type="dxa"/>
          </w:tcPr>
          <w:p>
            <w:pPr>
              <w:rPr>
                <w:szCs w:val="21"/>
              </w:rPr>
            </w:pPr>
          </w:p>
        </w:tc>
      </w:tr>
    </w:tbl>
    <w:p>
      <w:pPr>
        <w:spacing w:line="360" w:lineRule="auto"/>
        <w:rPr>
          <w:szCs w:val="21"/>
        </w:rPr>
      </w:pPr>
      <w:r>
        <w:rPr>
          <w:rFonts w:hint="eastAsia"/>
          <w:szCs w:val="21"/>
        </w:rPr>
        <w:t>注</w:t>
      </w:r>
      <w:r>
        <w:rPr>
          <w:rFonts w:hint="eastAsia" w:ascii="宋体" w:hAnsi="宋体"/>
          <w:szCs w:val="21"/>
        </w:rPr>
        <w:t xml:space="preserve">：1. </w:t>
      </w:r>
      <w:r>
        <w:rPr>
          <w:rFonts w:hint="eastAsia"/>
          <w:szCs w:val="21"/>
        </w:rPr>
        <w:t>投标人的投标产品若不属于招标文件第四章“政府采购扶持政策</w:t>
      </w:r>
      <w:r>
        <w:rPr>
          <w:rFonts w:hint="eastAsia"/>
          <w:bCs/>
          <w:szCs w:val="21"/>
        </w:rPr>
        <w:t>”</w:t>
      </w:r>
      <w:r>
        <w:rPr>
          <w:rFonts w:hint="eastAsia"/>
          <w:szCs w:val="21"/>
        </w:rPr>
        <w:t>中所述清单或目录范围内，则无需填写该表。</w:t>
      </w:r>
    </w:p>
    <w:p>
      <w:pPr>
        <w:spacing w:line="360" w:lineRule="auto"/>
        <w:rPr>
          <w:rFonts w:ascii="宋体" w:hAnsi="宋体"/>
          <w:szCs w:val="21"/>
        </w:rPr>
      </w:pPr>
      <w:r>
        <w:rPr>
          <w:rFonts w:hint="eastAsia" w:ascii="宋体" w:hAnsi="宋体"/>
          <w:szCs w:val="21"/>
        </w:rPr>
        <w:t>2. “该投标产品报价及占投标总价的比例”栏中须准确填报该投标产品的投标单价、数量、投标合计报价及占</w:t>
      </w:r>
      <w:r>
        <w:rPr>
          <w:rFonts w:hint="eastAsia"/>
          <w:szCs w:val="21"/>
        </w:rPr>
        <w:t>投标总</w:t>
      </w:r>
      <w:r>
        <w:rPr>
          <w:rFonts w:hint="eastAsia" w:ascii="宋体" w:hAnsi="宋体"/>
          <w:szCs w:val="21"/>
        </w:rPr>
        <w:t>价的比例。</w:t>
      </w:r>
    </w:p>
    <w:p>
      <w:pPr>
        <w:spacing w:line="360" w:lineRule="auto"/>
        <w:rPr>
          <w:rFonts w:ascii="宋体" w:hAnsi="宋体"/>
          <w:szCs w:val="21"/>
        </w:rPr>
      </w:pPr>
      <w:r>
        <w:rPr>
          <w:rFonts w:hint="eastAsia" w:ascii="宋体" w:hAnsi="宋体"/>
          <w:szCs w:val="21"/>
        </w:rPr>
        <w:t>3. “属于优先采购清单的类别”栏中填写“《节能产品政府采购品目清单》”、“《环境标志产品政府采购品目清单》”（以</w:t>
      </w:r>
      <w:r>
        <w:rPr>
          <w:rFonts w:hint="eastAsia" w:ascii="宋体" w:hAnsi="宋体"/>
          <w:bCs/>
          <w:szCs w:val="21"/>
        </w:rPr>
        <w:t>中国政府采购网（http://www.ccgp.gov.cn/）最新一期查询结果为准</w:t>
      </w:r>
      <w:r>
        <w:rPr>
          <w:rFonts w:hint="eastAsia" w:ascii="宋体" w:hAnsi="宋体"/>
          <w:szCs w:val="21"/>
        </w:rPr>
        <w:t>）。</w:t>
      </w:r>
    </w:p>
    <w:p>
      <w:pPr>
        <w:spacing w:line="360" w:lineRule="auto"/>
        <w:jc w:val="left"/>
      </w:pPr>
      <w:r>
        <w:rPr>
          <w:rFonts w:hint="eastAsia" w:ascii="宋体" w:hAnsi="宋体"/>
          <w:b/>
          <w:szCs w:val="21"/>
        </w:rPr>
        <w:t>4. 对上表所列</w:t>
      </w:r>
      <w:r>
        <w:rPr>
          <w:rFonts w:ascii="宋体" w:hAnsi="宋体"/>
          <w:b/>
          <w:szCs w:val="21"/>
        </w:rPr>
        <w:t>属于</w:t>
      </w:r>
      <w:r>
        <w:rPr>
          <w:rFonts w:hint="eastAsia" w:ascii="宋体" w:hAnsi="宋体"/>
          <w:b/>
          <w:szCs w:val="21"/>
        </w:rPr>
        <w:t>《关于调整优化节能产品环境标志产品政府采购执行机制的通知》（财库〔2019〕9号）、《关于印发环境标志产品政府采购品目清单的通知》（财库〔2019〕18号）和《关于印发节能产品政府采购品目清单的通知》（财库〔2019〕19号）</w:t>
      </w:r>
      <w:r>
        <w:rPr>
          <w:rFonts w:ascii="宋体" w:hAnsi="宋体"/>
          <w:b/>
          <w:szCs w:val="21"/>
        </w:rPr>
        <w:t>品目清单范围</w:t>
      </w:r>
      <w:r>
        <w:rPr>
          <w:rFonts w:hint="eastAsia" w:ascii="宋体" w:hAnsi="宋体"/>
          <w:b/>
          <w:szCs w:val="21"/>
        </w:rPr>
        <w:t>内</w:t>
      </w:r>
      <w:r>
        <w:rPr>
          <w:rFonts w:ascii="宋体" w:hAnsi="宋体"/>
          <w:b/>
          <w:szCs w:val="21"/>
        </w:rPr>
        <w:t>的</w:t>
      </w:r>
      <w:r>
        <w:rPr>
          <w:rFonts w:hint="eastAsia" w:ascii="宋体" w:hAnsi="宋体"/>
          <w:b/>
          <w:szCs w:val="21"/>
        </w:rPr>
        <w:t>产品，投标人须提供</w:t>
      </w:r>
      <w:r>
        <w:rPr>
          <w:rFonts w:ascii="宋体" w:hAnsi="宋体"/>
          <w:b/>
          <w:szCs w:val="21"/>
        </w:rPr>
        <w:t>国家确定的认证机构出具的、处于有效期之内的节能产品、环境标志产品认证证书，</w:t>
      </w:r>
      <w:r>
        <w:rPr>
          <w:rFonts w:hint="eastAsia" w:ascii="宋体" w:hAnsi="宋体"/>
          <w:b/>
          <w:szCs w:val="21"/>
        </w:rPr>
        <w:t>以及相应的品目清单，并显著标识投标产品所处位置。</w:t>
      </w:r>
      <w:r>
        <w:rPr>
          <w:rFonts w:hint="eastAsia" w:ascii="宋体" w:hAnsi="宋体"/>
          <w:szCs w:val="21"/>
        </w:rPr>
        <w:t>提供以上证明材料的扫描件或复印件加盖投标人公章，提供的证书若存在不齐全、已过有效期或其他未被评标委员会接受的瑕疵将不予认可。</w:t>
      </w:r>
      <w:r>
        <w:t xml:space="preserve">                                       </w:t>
      </w:r>
      <w:r>
        <w:rPr>
          <w:b/>
          <w:bCs/>
        </w:rPr>
        <w:t xml:space="preserve">  </w:t>
      </w:r>
    </w:p>
    <w:p>
      <w:pPr>
        <w:adjustRightInd w:val="0"/>
        <w:snapToGrid w:val="0"/>
        <w:spacing w:line="360" w:lineRule="auto"/>
        <w:ind w:firstLine="600"/>
        <w:jc w:val="right"/>
      </w:pPr>
    </w:p>
    <w:p>
      <w:pPr>
        <w:adjustRightInd w:val="0"/>
        <w:snapToGrid w:val="0"/>
        <w:spacing w:line="360" w:lineRule="auto"/>
        <w:ind w:firstLine="600"/>
        <w:jc w:val="right"/>
      </w:pPr>
    </w:p>
    <w:p>
      <w:pPr>
        <w:adjustRightInd w:val="0"/>
        <w:snapToGrid w:val="0"/>
        <w:spacing w:line="360" w:lineRule="auto"/>
        <w:ind w:firstLine="600"/>
        <w:jc w:val="left"/>
      </w:pPr>
    </w:p>
    <w:p>
      <w:pPr>
        <w:adjustRightInd w:val="0"/>
        <w:snapToGrid w:val="0"/>
        <w:spacing w:line="360" w:lineRule="auto"/>
        <w:ind w:firstLine="600"/>
        <w:jc w:val="lef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6" w:name="_Toc44691397"/>
      <w:bookmarkStart w:id="57" w:name="_Toc44690433"/>
      <w:bookmarkStart w:id="58" w:name="_Toc44691165"/>
      <w:bookmarkStart w:id="59" w:name="_Toc44690706"/>
      <w:r>
        <w:rPr>
          <w:rFonts w:hint="eastAsia" w:asciiTheme="minorEastAsia" w:hAnsiTheme="minorEastAsia" w:eastAsiaTheme="minorEastAsia"/>
          <w:sz w:val="24"/>
        </w:rPr>
        <w:t>格式5  开标一览表</w:t>
      </w:r>
      <w:bookmarkEnd w:id="56"/>
      <w:bookmarkEnd w:id="57"/>
      <w:bookmarkEnd w:id="58"/>
      <w:bookmarkEnd w:id="59"/>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6"/>
        <w:gridCol w:w="4396"/>
        <w:gridCol w:w="226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297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396"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22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2976" w:type="dxa"/>
            <w:tcBorders>
              <w:top w:val="single" w:color="auto" w:sz="4" w:space="0"/>
            </w:tcBorders>
            <w:vAlign w:val="center"/>
          </w:tcPr>
          <w:p>
            <w:pPr>
              <w:adjustRightInd w:val="0"/>
              <w:snapToGrid w:val="0"/>
              <w:spacing w:line="360" w:lineRule="auto"/>
              <w:jc w:val="center"/>
              <w:rPr>
                <w:rFonts w:hint="eastAsia" w:eastAsia="宋体"/>
                <w:lang w:eastAsia="zh-CN"/>
              </w:rPr>
            </w:pPr>
            <w:r>
              <w:rPr>
                <w:rFonts w:hint="eastAsia"/>
                <w:lang w:eastAsia="zh-CN"/>
              </w:rPr>
              <w:t>荧光定量PCR仪</w:t>
            </w:r>
          </w:p>
        </w:tc>
        <w:tc>
          <w:tcPr>
            <w:tcW w:w="4396"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2261"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bCs/>
        </w:rPr>
        <w:t>投标</w:t>
      </w:r>
      <w:r>
        <w:rPr>
          <w:rFonts w:hint="eastAsia"/>
          <w:snapToGrid w:val="0"/>
          <w:kern w:val="0"/>
        </w:rPr>
        <w:t>总</w:t>
      </w:r>
      <w:r>
        <w:rPr>
          <w:rFonts w:hint="eastAsia" w:ascii="宋体" w:hAnsi="宋体"/>
          <w:bCs/>
        </w:rPr>
        <w:t>价必须是完成该项目的一切费用总和，包含设备费、运输费、装卸费、安装费、调试费、保险费、技术培训费、售后服务费、国家规定的各项税费等全部费用。</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0" w:name="_Toc44690434"/>
      <w:bookmarkStart w:id="61" w:name="_Toc44691398"/>
      <w:bookmarkStart w:id="62" w:name="_Toc44690707"/>
      <w:bookmarkStart w:id="63" w:name="_Toc44691166"/>
      <w:r>
        <w:rPr>
          <w:rFonts w:hint="eastAsia" w:asciiTheme="minorEastAsia" w:hAnsiTheme="minorEastAsia" w:eastAsiaTheme="minorEastAsia"/>
          <w:sz w:val="24"/>
        </w:rPr>
        <w:t>格式6  报价表</w:t>
      </w:r>
      <w:bookmarkEnd w:id="60"/>
      <w:bookmarkEnd w:id="61"/>
      <w:bookmarkEnd w:id="62"/>
      <w:bookmarkEnd w:id="63"/>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报价包</w:t>
      </w:r>
      <w:r>
        <w:rPr>
          <w:rFonts w:hint="eastAsia" w:ascii="宋体" w:hAnsi="宋体"/>
          <w:bCs/>
        </w:rPr>
        <w:t>含</w:t>
      </w:r>
      <w:r>
        <w:rPr>
          <w:rFonts w:hint="eastAsia" w:asciiTheme="minorEastAsia" w:hAnsiTheme="minorEastAsia" w:eastAsiaTheme="minorEastAsia"/>
          <w:bCs/>
        </w:rPr>
        <w:t>设备费、运输费、装卸费、安装费、调试费、保险费、技术培训费、售后服务费、国家规定的各项税费等全部费用</w:t>
      </w:r>
      <w:r>
        <w:rPr>
          <w:rFonts w:hint="eastAsia" w:asciiTheme="minorEastAsia" w:hAnsiTheme="minorEastAsia" w:eastAsiaTheme="minorEastAsia"/>
          <w:snapToGrid w:val="0"/>
          <w:kern w:val="0"/>
        </w:rPr>
        <w:t>。</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“分项价格表”应将所有设备报价，并分别列出“品牌、型号、产地及制造厂商”。</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1.4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p>
      <w:pPr>
        <w:adjustRightInd w:val="0"/>
        <w:snapToGrid w:val="0"/>
        <w:spacing w:line="300" w:lineRule="auto"/>
        <w:rPr>
          <w:snapToGrid w:val="0"/>
          <w:kern w:val="0"/>
        </w:rPr>
      </w:pPr>
    </w:p>
    <w:p>
      <w:pPr>
        <w:adjustRightInd w:val="0"/>
        <w:snapToGrid w:val="0"/>
        <w:spacing w:line="300" w:lineRule="auto"/>
        <w:jc w:val="center"/>
        <w:rPr>
          <w:rFonts w:asciiTheme="minorEastAsia" w:hAnsiTheme="minorEastAsia" w:eastAsiaTheme="minorEastAsia"/>
          <w:bCs/>
          <w:snapToGrid w:val="0"/>
          <w:kern w:val="0"/>
          <w:sz w:val="24"/>
          <w:u w:val="single"/>
        </w:rPr>
      </w:pPr>
      <w:r>
        <w:rPr>
          <w:rFonts w:hint="eastAsia" w:asciiTheme="minorEastAsia" w:hAnsiTheme="minorEastAsia" w:eastAsiaTheme="minorEastAsia"/>
          <w:snapToGrid w:val="0"/>
          <w:kern w:val="0"/>
          <w:sz w:val="24"/>
        </w:rPr>
        <w:t>（一）</w:t>
      </w:r>
      <w:r>
        <w:rPr>
          <w:rFonts w:hint="eastAsia" w:asciiTheme="minorEastAsia" w:hAnsiTheme="minorEastAsia" w:eastAsiaTheme="minorEastAsia"/>
          <w:bCs/>
          <w:snapToGrid w:val="0"/>
          <w:kern w:val="0"/>
          <w:sz w:val="24"/>
        </w:rPr>
        <w:t>报价总表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bCs/>
          <w:snapToGrid w:val="0"/>
          <w:kern w:val="0"/>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p>
    <w:tbl>
      <w:tblPr>
        <w:tblStyle w:val="50"/>
        <w:tblW w:w="1051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939"/>
        <w:gridCol w:w="483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序号</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名称</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总价（单位：元）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设备费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运输费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装卸费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安装费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调试费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保险费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技术培训费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售后服务费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bCs/>
              </w:rPr>
              <w:t>国家规定的各项税费</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746"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p>
        </w:tc>
        <w:tc>
          <w:tcPr>
            <w:tcW w:w="493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其它</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685" w:type="dxa"/>
            <w:gridSpan w:val="2"/>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   计</w:t>
            </w:r>
          </w:p>
        </w:tc>
        <w:tc>
          <w:tcPr>
            <w:tcW w:w="4833" w:type="dxa"/>
            <w:vAlign w:val="center"/>
          </w:tcPr>
          <w:p>
            <w:pPr>
              <w:adjustRightInd w:val="0"/>
              <w:snapToGrid w:val="0"/>
              <w:spacing w:line="300" w:lineRule="auto"/>
              <w:jc w:val="center"/>
              <w:rPr>
                <w:rFonts w:asciiTheme="minorEastAsia" w:hAnsiTheme="minorEastAsia" w:eastAsiaTheme="minorEastAsia"/>
                <w:snapToGrid w:val="0"/>
                <w:kern w:val="0"/>
              </w:rPr>
            </w:pPr>
          </w:p>
        </w:tc>
      </w:tr>
    </w:tbl>
    <w:p>
      <w:pPr>
        <w:rPr>
          <w:rFonts w:asciiTheme="minorEastAsia" w:hAnsiTheme="minorEastAsia" w:eastAsiaTheme="minorEastAsia"/>
          <w:szCs w:val="21"/>
        </w:rPr>
      </w:pPr>
      <w:r>
        <w:rPr>
          <w:rFonts w:hint="eastAsia" w:asciiTheme="minorEastAsia" w:hAnsiTheme="minorEastAsia" w:eastAsiaTheme="minorEastAsia"/>
          <w:szCs w:val="21"/>
        </w:rPr>
        <w:t>备注：1、</w:t>
      </w:r>
      <w:r>
        <w:rPr>
          <w:rFonts w:hint="eastAsia" w:asciiTheme="minorEastAsia" w:hAnsiTheme="minorEastAsia" w:eastAsiaTheme="minorEastAsia"/>
          <w:bCs/>
          <w:szCs w:val="21"/>
        </w:rPr>
        <w:t>本表格仅为指导性范本，供应商可根据项目具体情况对各分项内容进行调整。</w:t>
      </w:r>
    </w:p>
    <w:p>
      <w:pPr>
        <w:adjustRightInd w:val="0"/>
        <w:jc w:val="left"/>
        <w:rPr>
          <w:rFonts w:asciiTheme="minorEastAsia" w:hAnsiTheme="minorEastAsia" w:eastAsiaTheme="minorEastAsia"/>
          <w:snapToGrid w:val="0"/>
          <w:kern w:val="0"/>
          <w:szCs w:val="21"/>
        </w:rPr>
      </w:pPr>
      <w:r>
        <w:rPr>
          <w:rFonts w:hint="eastAsia" w:asciiTheme="minorEastAsia" w:hAnsiTheme="minorEastAsia" w:eastAsiaTheme="minorEastAsia"/>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Theme="minorEastAsia" w:hAnsiTheme="minorEastAsia" w:eastAsiaTheme="minorEastAsia"/>
          <w:szCs w:val="21"/>
        </w:rPr>
        <w:t>。</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bCs/>
        </w:rPr>
      </w:pPr>
      <w:r>
        <w:rPr>
          <w:rFonts w:hint="eastAsia" w:asciiTheme="minorEastAsia" w:hAnsiTheme="minorEastAsia" w:eastAsiaTheme="minorEastAsia"/>
          <w:snapToGrid w:val="0"/>
          <w:kern w:val="0"/>
          <w:sz w:val="24"/>
        </w:rPr>
        <w:t>（二）</w:t>
      </w:r>
      <w:r>
        <w:rPr>
          <w:rFonts w:asciiTheme="minorEastAsia" w:hAnsiTheme="minorEastAsia" w:eastAsiaTheme="minorEastAsia"/>
          <w:snapToGrid w:val="0"/>
          <w:kern w:val="0"/>
          <w:sz w:val="24"/>
        </w:rPr>
        <w:t>分项价格表</w:t>
      </w:r>
    </w:p>
    <w:p>
      <w:pPr>
        <w:adjustRightInd w:val="0"/>
        <w:snapToGrid w:val="0"/>
        <w:spacing w:line="300" w:lineRule="auto"/>
        <w:rPr>
          <w:rFonts w:asciiTheme="minorEastAsia" w:hAnsiTheme="minorEastAsia" w:eastAsiaTheme="minorEastAsia"/>
          <w:bCs/>
          <w:snapToGrid w:val="0"/>
          <w:kern w:val="0"/>
          <w:u w:val="single"/>
        </w:rPr>
      </w:pPr>
      <w:r>
        <w:rPr>
          <w:rFonts w:hint="eastAsia" w:asciiTheme="minorEastAsia" w:hAnsiTheme="minorEastAsia" w:eastAsiaTheme="minorEastAsia"/>
          <w:bCs/>
          <w:snapToGrid w:val="0"/>
          <w:kern w:val="0"/>
        </w:rPr>
        <w:t>项目名称：</w:t>
      </w:r>
      <w:r>
        <w:rPr>
          <w:rFonts w:hint="eastAsia" w:asciiTheme="minorEastAsia" w:hAnsiTheme="minorEastAsia" w:eastAsiaTheme="minorEastAsia"/>
          <w:bCs/>
          <w:snapToGrid w:val="0"/>
          <w:kern w:val="0"/>
          <w:u w:val="single"/>
        </w:rPr>
        <w:t xml:space="preserve">               </w:t>
      </w:r>
    </w:p>
    <w:p>
      <w:pPr>
        <w:adjustRightInd w:val="0"/>
        <w:snapToGrid w:val="0"/>
        <w:spacing w:line="300" w:lineRule="auto"/>
        <w:rPr>
          <w:rFonts w:asciiTheme="minorEastAsia" w:hAnsiTheme="minorEastAsia" w:eastAsiaTheme="minorEastAsia"/>
          <w:snapToGrid w:val="0"/>
          <w:kern w:val="0"/>
          <w:sz w:val="24"/>
        </w:rPr>
      </w:pPr>
      <w:r>
        <w:rPr>
          <w:rFonts w:hint="eastAsia" w:asciiTheme="minorEastAsia" w:hAnsiTheme="minorEastAsia" w:eastAsiaTheme="minorEastAsia"/>
          <w:bCs/>
          <w:snapToGrid w:val="0"/>
          <w:kern w:val="0"/>
        </w:rPr>
        <w:t>项目编号：</w:t>
      </w:r>
      <w:r>
        <w:rPr>
          <w:rFonts w:hint="eastAsia" w:asciiTheme="minorEastAsia" w:hAnsiTheme="minorEastAsia" w:eastAsiaTheme="minorEastAsia"/>
          <w:bCs/>
          <w:snapToGrid w:val="0"/>
          <w:kern w:val="0"/>
          <w:u w:val="single"/>
        </w:rPr>
        <w:t xml:space="preserve">               </w:t>
      </w:r>
      <w:r>
        <w:rPr>
          <w:rFonts w:hint="eastAsia" w:asciiTheme="minorEastAsia" w:hAnsiTheme="minorEastAsia" w:eastAsiaTheme="minorEastAsia"/>
          <w:bCs/>
          <w:snapToGrid w:val="0"/>
          <w:kern w:val="0"/>
        </w:rPr>
        <w:t xml:space="preserve">  </w:t>
      </w:r>
      <w:r>
        <w:rPr>
          <w:rFonts w:asciiTheme="minorEastAsia" w:hAnsiTheme="minorEastAsia" w:eastAsiaTheme="minorEastAsia"/>
          <w:bCs/>
          <w:snapToGrid w:val="0"/>
          <w:kern w:val="0"/>
        </w:rPr>
        <w:t xml:space="preserve"> </w:t>
      </w:r>
    </w:p>
    <w:tbl>
      <w:tblPr>
        <w:tblStyle w:val="50"/>
        <w:tblW w:w="10565"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821"/>
        <w:gridCol w:w="709"/>
        <w:gridCol w:w="851"/>
        <w:gridCol w:w="1417"/>
        <w:gridCol w:w="992"/>
        <w:gridCol w:w="651"/>
        <w:gridCol w:w="725"/>
        <w:gridCol w:w="709"/>
        <w:gridCol w:w="773"/>
        <w:gridCol w:w="1248"/>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序号</w:t>
            </w:r>
          </w:p>
        </w:tc>
        <w:tc>
          <w:tcPr>
            <w:tcW w:w="182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货物</w:t>
            </w:r>
            <w:r>
              <w:rPr>
                <w:rFonts w:asciiTheme="minorEastAsia" w:hAnsiTheme="minorEastAsia" w:eastAsiaTheme="minorEastAsia"/>
                <w:snapToGrid w:val="0"/>
                <w:kern w:val="0"/>
              </w:rPr>
              <w:t>名称</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品牌</w:t>
            </w: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zCs w:val="21"/>
              </w:rPr>
              <w:t>规格/型号</w:t>
            </w: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制造厂商</w:t>
            </w: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原产地</w:t>
            </w: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数量</w:t>
            </w: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单位</w:t>
            </w: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r>
              <w:rPr>
                <w:rFonts w:asciiTheme="minorEastAsia" w:hAnsiTheme="minorEastAsia" w:eastAsiaTheme="minorEastAsia"/>
                <w:snapToGrid w:val="0"/>
                <w:kern w:val="0"/>
              </w:rPr>
              <w:t>单价</w:t>
            </w:r>
          </w:p>
        </w:tc>
        <w:tc>
          <w:tcPr>
            <w:tcW w:w="773" w:type="dxa"/>
            <w:vAlign w:val="center"/>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合</w:t>
            </w:r>
            <w:r>
              <w:rPr>
                <w:rFonts w:asciiTheme="minorEastAsia" w:hAnsiTheme="minorEastAsia" w:eastAsiaTheme="minorEastAsia"/>
                <w:snapToGrid w:val="0"/>
                <w:kern w:val="0"/>
              </w:rPr>
              <w:t>价</w:t>
            </w:r>
          </w:p>
        </w:tc>
        <w:tc>
          <w:tcPr>
            <w:tcW w:w="1248" w:type="dxa"/>
          </w:tcPr>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是否为进口产品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1</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2</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3</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4</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cantSplit/>
          <w:jc w:val="center"/>
        </w:trPr>
        <w:tc>
          <w:tcPr>
            <w:tcW w:w="669" w:type="dxa"/>
            <w:vAlign w:val="center"/>
          </w:tcPr>
          <w:p>
            <w:pPr>
              <w:jc w:val="center"/>
              <w:rPr>
                <w:rFonts w:cs="仿宋" w:asciiTheme="minorEastAsia" w:hAnsiTheme="minorEastAsia" w:eastAsiaTheme="minorEastAsia"/>
                <w:szCs w:val="21"/>
              </w:rPr>
            </w:pPr>
            <w:r>
              <w:rPr>
                <w:rFonts w:hint="eastAsia" w:cs="仿宋" w:asciiTheme="minorEastAsia" w:hAnsiTheme="minorEastAsia" w:eastAsiaTheme="minorEastAsia"/>
                <w:szCs w:val="21"/>
              </w:rPr>
              <w:t>5</w:t>
            </w:r>
          </w:p>
        </w:tc>
        <w:tc>
          <w:tcPr>
            <w:tcW w:w="1821" w:type="dxa"/>
            <w:vAlign w:val="center"/>
          </w:tcPr>
          <w:p>
            <w:pPr>
              <w:widowControl/>
              <w:spacing w:line="360" w:lineRule="auto"/>
              <w:jc w:val="center"/>
              <w:rPr>
                <w:rFonts w:cs="宋体" w:asciiTheme="minorEastAsia" w:hAnsiTheme="minorEastAsia" w:eastAsiaTheme="minorEastAsia"/>
                <w:kern w:val="0"/>
                <w:szCs w:val="21"/>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8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1417"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992"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651"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25"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09" w:type="dxa"/>
            <w:vAlign w:val="center"/>
          </w:tcPr>
          <w:p>
            <w:pPr>
              <w:adjustRightInd w:val="0"/>
              <w:snapToGrid w:val="0"/>
              <w:spacing w:line="300" w:lineRule="auto"/>
              <w:jc w:val="center"/>
              <w:rPr>
                <w:rFonts w:asciiTheme="minorEastAsia" w:hAnsiTheme="minorEastAsia" w:eastAsiaTheme="minorEastAsia"/>
                <w:snapToGrid w:val="0"/>
                <w:kern w:val="0"/>
              </w:rPr>
            </w:pPr>
          </w:p>
        </w:tc>
        <w:tc>
          <w:tcPr>
            <w:tcW w:w="773" w:type="dxa"/>
          </w:tcPr>
          <w:p>
            <w:pPr>
              <w:adjustRightInd w:val="0"/>
              <w:snapToGrid w:val="0"/>
              <w:spacing w:line="300" w:lineRule="auto"/>
              <w:jc w:val="center"/>
              <w:rPr>
                <w:rFonts w:asciiTheme="minorEastAsia" w:hAnsiTheme="minorEastAsia" w:eastAsiaTheme="minorEastAsia"/>
                <w:snapToGrid w:val="0"/>
                <w:kern w:val="0"/>
              </w:rPr>
            </w:pPr>
          </w:p>
        </w:tc>
        <w:tc>
          <w:tcPr>
            <w:tcW w:w="1248" w:type="dxa"/>
          </w:tcPr>
          <w:p>
            <w:pPr>
              <w:adjustRightInd w:val="0"/>
              <w:snapToGrid w:val="0"/>
              <w:spacing w:line="300" w:lineRule="auto"/>
              <w:jc w:val="center"/>
              <w:rPr>
                <w:rFonts w:asciiTheme="minorEastAsia" w:hAnsiTheme="minorEastAsia" w:eastAsiaTheme="minorEastAsia"/>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565" w:type="dxa"/>
            <w:gridSpan w:val="11"/>
            <w:vAlign w:val="center"/>
          </w:tcPr>
          <w:p>
            <w:pPr>
              <w:adjustRightInd w:val="0"/>
              <w:snapToGrid w:val="0"/>
              <w:spacing w:line="300" w:lineRule="auto"/>
              <w:jc w:val="left"/>
              <w:rPr>
                <w:rFonts w:asciiTheme="minorEastAsia" w:hAnsiTheme="minorEastAsia" w:eastAsiaTheme="minorEastAsia"/>
                <w:snapToGrid w:val="0"/>
                <w:kern w:val="0"/>
              </w:rPr>
            </w:pPr>
            <w:r>
              <w:rPr>
                <w:rFonts w:hint="eastAsia" w:asciiTheme="minorEastAsia" w:hAnsiTheme="minorEastAsia" w:eastAsiaTheme="minorEastAsia"/>
                <w:sz w:val="24"/>
              </w:rPr>
              <w:t>总计（即投标总价；币种：人民币；单位：元）：</w:t>
            </w:r>
          </w:p>
        </w:tc>
      </w:tr>
    </w:tbl>
    <w:p>
      <w:pPr>
        <w:rPr>
          <w:rFonts w:asciiTheme="minorEastAsia" w:hAnsiTheme="minorEastAsia" w:eastAsiaTheme="minorEastAsia"/>
        </w:rPr>
      </w:pPr>
      <w:r>
        <w:rPr>
          <w:rFonts w:hint="eastAsia" w:asciiTheme="minorEastAsia" w:hAnsiTheme="minorEastAsia" w:eastAsiaTheme="minorEastAsia"/>
          <w:snapToGrid w:val="0"/>
          <w:kern w:val="0"/>
        </w:rPr>
        <w:t>注：</w:t>
      </w:r>
      <w:r>
        <w:rPr>
          <w:rFonts w:hint="eastAsia" w:asciiTheme="minorEastAsia" w:hAnsiTheme="minorEastAsia" w:eastAsiaTheme="minorEastAsia"/>
        </w:rPr>
        <w:t>1. 本表</w:t>
      </w:r>
      <w:r>
        <w:rPr>
          <w:rFonts w:asciiTheme="minorEastAsia" w:hAnsiTheme="minorEastAsia" w:eastAsiaTheme="minorEastAsia"/>
        </w:rPr>
        <w:t>应</w:t>
      </w:r>
      <w:r>
        <w:rPr>
          <w:rFonts w:hint="eastAsia" w:asciiTheme="minorEastAsia" w:hAnsiTheme="minorEastAsia" w:eastAsiaTheme="minorEastAsia"/>
        </w:rPr>
        <w:t>根据</w:t>
      </w:r>
      <w:r>
        <w:rPr>
          <w:rFonts w:hint="eastAsia" w:ascii="宋体" w:hAnsi="宋体" w:cs="Arial"/>
          <w:bCs/>
          <w:szCs w:val="21"/>
        </w:rPr>
        <w:t>招标文件第二章《项目需求》中</w:t>
      </w:r>
      <w:r>
        <w:rPr>
          <w:rFonts w:hint="eastAsia" w:asciiTheme="minorEastAsia" w:hAnsiTheme="minorEastAsia" w:eastAsiaTheme="minorEastAsia"/>
        </w:rPr>
        <w:t>“一、采购范围”的</w:t>
      </w:r>
      <w:r>
        <w:rPr>
          <w:rFonts w:hint="eastAsia" w:asciiTheme="minorEastAsia" w:hAnsiTheme="minorEastAsia" w:eastAsiaTheme="minorEastAsia"/>
          <w:b/>
          <w:szCs w:val="21"/>
        </w:rPr>
        <w:t>“（二）货物清单明细”</w:t>
      </w:r>
      <w:r>
        <w:rPr>
          <w:rFonts w:hint="eastAsia" w:asciiTheme="minorEastAsia" w:hAnsiTheme="minorEastAsia" w:eastAsiaTheme="minorEastAsia"/>
        </w:rPr>
        <w:t>填写</w:t>
      </w:r>
      <w:r>
        <w:rPr>
          <w:rFonts w:asciiTheme="minorEastAsia" w:hAnsiTheme="minorEastAsia" w:eastAsiaTheme="minorEastAsia"/>
        </w:rPr>
        <w:t>，</w:t>
      </w:r>
      <w:r>
        <w:rPr>
          <w:rFonts w:hint="eastAsia" w:asciiTheme="minorEastAsia" w:hAnsiTheme="minorEastAsia" w:eastAsiaTheme="minorEastAsia"/>
          <w:b/>
        </w:rPr>
        <w:t>本表格式不得修改</w:t>
      </w:r>
      <w:r>
        <w:rPr>
          <w:rFonts w:hint="eastAsia" w:asciiTheme="minorEastAsia" w:hAnsiTheme="minorEastAsia" w:eastAsiaTheme="minorEastAsia"/>
        </w:rPr>
        <w:t>（续行除外）。</w:t>
      </w:r>
      <w:r>
        <w:rPr>
          <w:rFonts w:hint="eastAsia" w:asciiTheme="minorEastAsia" w:hAnsiTheme="minorEastAsia" w:eastAsiaTheme="minorEastAsia"/>
          <w:b/>
        </w:rPr>
        <w:t>对于定制类产品，可以不填写品牌、型号等信息，但必须注明“定制”，否则该产品技术参数按负偏离处理</w:t>
      </w:r>
      <w:r>
        <w:rPr>
          <w:rFonts w:asciiTheme="minorEastAsia" w:hAnsiTheme="minorEastAsia" w:eastAsiaTheme="minorEastAsia"/>
          <w:b/>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2、</w:t>
      </w:r>
      <w:r>
        <w:rPr>
          <w:rFonts w:hint="eastAsia" w:ascii="宋体" w:hAnsi="宋体"/>
          <w:szCs w:val="21"/>
        </w:rPr>
        <w:t>投标人必须对照进口产品的规定明确其投标产品是否为进口产品。进口产品是指通过海关验放进入中国境内且产自关境外的产品。即所谓进口产品是指制造过程均在国外，如果产品在国内组装，其中的零部件（包括核心部件）是进口产品，则应当视为非进口产品。采用“接受进口”的产品优先采购向我国企业转让技术、与我国企业签订消化吸收再创新方案的供应商的进口产品，相关内容以财库〔2007〕119 号文和财办库〔2008〕248 号文的相关规定为准</w:t>
      </w:r>
      <w:r>
        <w:rPr>
          <w:rFonts w:hint="eastAsia" w:asciiTheme="minorEastAsia" w:hAnsiTheme="minorEastAsia" w:eastAsiaTheme="minorEastAsia"/>
        </w:rPr>
        <w:t>。</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3、投标总价应为以上各分项价格之和；投标总价和表中单个采购条目报价均不得超过对应的财政预算限额，否则将导致无效投标。</w:t>
      </w:r>
    </w:p>
    <w:p>
      <w:pPr>
        <w:adjustRightInd w:val="0"/>
        <w:snapToGrid w:val="0"/>
        <w:spacing w:line="300" w:lineRule="auto"/>
        <w:rPr>
          <w:rFonts w:asciiTheme="minorEastAsia" w:hAnsiTheme="minorEastAsia" w:eastAsiaTheme="minorEastAsia"/>
        </w:rPr>
      </w:pPr>
      <w:r>
        <w:rPr>
          <w:rFonts w:hint="eastAsia" w:asciiTheme="minorEastAsia" w:hAnsiTheme="minorEastAsia" w:eastAsiaTheme="minorEastAsia"/>
        </w:rPr>
        <w:t>4、开标一览表中的投标</w:t>
      </w:r>
      <w:r>
        <w:rPr>
          <w:rFonts w:hint="eastAsia"/>
          <w:snapToGrid w:val="0"/>
          <w:kern w:val="0"/>
        </w:rPr>
        <w:t>总</w:t>
      </w:r>
      <w:r>
        <w:rPr>
          <w:rFonts w:hint="eastAsia" w:asciiTheme="minorEastAsia" w:hAnsiTheme="minorEastAsia" w:eastAsiaTheme="minorEastAsia"/>
        </w:rPr>
        <w:t>价应与本表中的投标总价金额一致。</w:t>
      </w:r>
    </w:p>
    <w:p>
      <w:pPr>
        <w:adjustRightInd w:val="0"/>
        <w:snapToGrid w:val="0"/>
        <w:spacing w:line="300" w:lineRule="auto"/>
        <w:rPr>
          <w:rFonts w:asciiTheme="minorEastAsia" w:hAnsiTheme="minorEastAsia" w:eastAsiaTheme="minorEastAsia"/>
          <w:snapToGrid w:val="0"/>
          <w:kern w:val="0"/>
        </w:rPr>
      </w:pPr>
      <w:r>
        <w:rPr>
          <w:rFonts w:hint="eastAsia" w:asciiTheme="minorEastAsia" w:hAnsiTheme="minorEastAsia" w:eastAsiaTheme="minorEastAsia"/>
        </w:rPr>
        <w:t>5、“原产地”是指该产品的实际生产加工地，而非品牌总公司所在地。</w:t>
      </w:r>
    </w:p>
    <w:p>
      <w:pPr>
        <w:adjustRightInd w:val="0"/>
        <w:snapToGrid w:val="0"/>
        <w:spacing w:line="300" w:lineRule="auto"/>
        <w:jc w:val="center"/>
        <w:rPr>
          <w:rFonts w:asciiTheme="minorEastAsia" w:hAnsiTheme="minorEastAsia" w:eastAsiaTheme="minorEastAsia"/>
          <w:snapToGrid w:val="0"/>
          <w:kern w:val="0"/>
        </w:rPr>
      </w:pP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（三）【可选】零配件、消耗品和延续保修合同报价明细清单</w:t>
      </w:r>
    </w:p>
    <w:p>
      <w:pPr>
        <w:adjustRightInd w:val="0"/>
        <w:snapToGrid w:val="0"/>
        <w:spacing w:line="300" w:lineRule="auto"/>
        <w:jc w:val="center"/>
        <w:rPr>
          <w:rFonts w:ascii="宋体" w:hAnsi="宋体" w:cs="宋体"/>
          <w:color w:val="000000"/>
          <w:kern w:val="0"/>
          <w:sz w:val="24"/>
        </w:rPr>
      </w:pPr>
      <w:r>
        <w:rPr>
          <w:rFonts w:hint="eastAsia" w:ascii="宋体" w:hAnsi="宋体" w:cs="宋体"/>
          <w:color w:val="000000"/>
          <w:kern w:val="0"/>
          <w:sz w:val="24"/>
        </w:rPr>
        <w:t>（该部分报价不包括在投标总价内）</w:t>
      </w:r>
    </w:p>
    <w:tbl>
      <w:tblPr>
        <w:tblStyle w:val="50"/>
        <w:tblW w:w="9028"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136"/>
        <w:gridCol w:w="1843"/>
        <w:gridCol w:w="1417"/>
        <w:gridCol w:w="1134"/>
        <w:gridCol w:w="267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snapToGrid w:val="0"/>
                <w:color w:val="000000"/>
                <w:kern w:val="0"/>
              </w:rPr>
              <w:t>序号</w:t>
            </w:r>
          </w:p>
        </w:tc>
        <w:tc>
          <w:tcPr>
            <w:tcW w:w="1136" w:type="dxa"/>
            <w:vAlign w:val="center"/>
          </w:tcPr>
          <w:p>
            <w:pPr>
              <w:adjustRightInd w:val="0"/>
              <w:snapToGrid w:val="0"/>
              <w:spacing w:line="300" w:lineRule="auto"/>
              <w:jc w:val="center"/>
              <w:rPr>
                <w:snapToGrid w:val="0"/>
                <w:kern w:val="0"/>
              </w:rPr>
            </w:pPr>
            <w:r>
              <w:rPr>
                <w:rFonts w:hint="eastAsia"/>
                <w:snapToGrid w:val="0"/>
                <w:kern w:val="0"/>
              </w:rPr>
              <w:t>货物</w:t>
            </w:r>
            <w:r>
              <w:rPr>
                <w:snapToGrid w:val="0"/>
                <w:kern w:val="0"/>
              </w:rPr>
              <w:t>名称</w:t>
            </w:r>
          </w:p>
        </w:tc>
        <w:tc>
          <w:tcPr>
            <w:tcW w:w="1843" w:type="dxa"/>
            <w:vAlign w:val="center"/>
          </w:tcPr>
          <w:p>
            <w:pPr>
              <w:adjustRightInd w:val="0"/>
              <w:snapToGrid w:val="0"/>
              <w:spacing w:line="300" w:lineRule="auto"/>
              <w:jc w:val="center"/>
              <w:rPr>
                <w:snapToGrid w:val="0"/>
                <w:kern w:val="0"/>
              </w:rPr>
            </w:pPr>
            <w:r>
              <w:rPr>
                <w:rFonts w:hint="eastAsia"/>
                <w:szCs w:val="21"/>
              </w:rPr>
              <w:t>规格/型号</w:t>
            </w:r>
          </w:p>
        </w:tc>
        <w:tc>
          <w:tcPr>
            <w:tcW w:w="1417" w:type="dxa"/>
            <w:vAlign w:val="center"/>
          </w:tcPr>
          <w:p>
            <w:pPr>
              <w:adjustRightInd w:val="0"/>
              <w:snapToGrid w:val="0"/>
              <w:spacing w:line="300" w:lineRule="auto"/>
              <w:jc w:val="center"/>
              <w:rPr>
                <w:snapToGrid w:val="0"/>
                <w:kern w:val="0"/>
              </w:rPr>
            </w:pPr>
            <w:r>
              <w:rPr>
                <w:snapToGrid w:val="0"/>
                <w:kern w:val="0"/>
              </w:rPr>
              <w:t>制造厂商</w:t>
            </w:r>
          </w:p>
        </w:tc>
        <w:tc>
          <w:tcPr>
            <w:tcW w:w="1134" w:type="dxa"/>
            <w:vAlign w:val="center"/>
          </w:tcPr>
          <w:p>
            <w:pPr>
              <w:adjustRightInd w:val="0"/>
              <w:snapToGrid w:val="0"/>
              <w:spacing w:line="300" w:lineRule="auto"/>
              <w:jc w:val="center"/>
              <w:rPr>
                <w:snapToGrid w:val="0"/>
                <w:kern w:val="0"/>
              </w:rPr>
            </w:pPr>
            <w:r>
              <w:rPr>
                <w:rFonts w:hint="eastAsia"/>
                <w:snapToGrid w:val="0"/>
                <w:kern w:val="0"/>
              </w:rPr>
              <w:t>原产地</w:t>
            </w:r>
          </w:p>
        </w:tc>
        <w:tc>
          <w:tcPr>
            <w:tcW w:w="2670" w:type="dxa"/>
            <w:vAlign w:val="center"/>
          </w:tcPr>
          <w:p>
            <w:pPr>
              <w:jc w:val="center"/>
              <w:rPr>
                <w:szCs w:val="21"/>
              </w:rPr>
            </w:pPr>
            <w:r>
              <w:rPr>
                <w:rFonts w:hint="eastAsia"/>
                <w:szCs w:val="21"/>
              </w:rPr>
              <w:t>单价(元)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1</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r>
              <w:rPr>
                <w:rFonts w:hint="eastAsia"/>
                <w:snapToGrid w:val="0"/>
                <w:color w:val="000000"/>
                <w:kern w:val="0"/>
              </w:rPr>
              <w:t>...</w:t>
            </w: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28" w:type="dxa"/>
            <w:vAlign w:val="center"/>
          </w:tcPr>
          <w:p>
            <w:pPr>
              <w:adjustRightInd w:val="0"/>
              <w:snapToGrid w:val="0"/>
              <w:spacing w:line="300" w:lineRule="auto"/>
              <w:jc w:val="center"/>
              <w:rPr>
                <w:snapToGrid w:val="0"/>
                <w:color w:val="000000"/>
                <w:kern w:val="0"/>
              </w:rPr>
            </w:pPr>
          </w:p>
        </w:tc>
        <w:tc>
          <w:tcPr>
            <w:tcW w:w="1136" w:type="dxa"/>
            <w:vAlign w:val="center"/>
          </w:tcPr>
          <w:p>
            <w:pPr>
              <w:adjustRightInd w:val="0"/>
              <w:snapToGrid w:val="0"/>
              <w:spacing w:line="300" w:lineRule="auto"/>
              <w:jc w:val="center"/>
              <w:rPr>
                <w:snapToGrid w:val="0"/>
                <w:color w:val="000000"/>
                <w:kern w:val="0"/>
              </w:rPr>
            </w:pPr>
          </w:p>
        </w:tc>
        <w:tc>
          <w:tcPr>
            <w:tcW w:w="1843" w:type="dxa"/>
            <w:vAlign w:val="center"/>
          </w:tcPr>
          <w:p>
            <w:pPr>
              <w:adjustRightInd w:val="0"/>
              <w:snapToGrid w:val="0"/>
              <w:spacing w:line="300" w:lineRule="auto"/>
              <w:jc w:val="center"/>
              <w:rPr>
                <w:snapToGrid w:val="0"/>
                <w:color w:val="000000"/>
                <w:kern w:val="0"/>
              </w:rPr>
            </w:pPr>
          </w:p>
        </w:tc>
        <w:tc>
          <w:tcPr>
            <w:tcW w:w="1417" w:type="dxa"/>
            <w:vAlign w:val="center"/>
          </w:tcPr>
          <w:p>
            <w:pPr>
              <w:adjustRightInd w:val="0"/>
              <w:snapToGrid w:val="0"/>
              <w:spacing w:line="300" w:lineRule="auto"/>
              <w:jc w:val="center"/>
              <w:rPr>
                <w:snapToGrid w:val="0"/>
                <w:color w:val="000000"/>
                <w:kern w:val="0"/>
              </w:rPr>
            </w:pPr>
          </w:p>
        </w:tc>
        <w:tc>
          <w:tcPr>
            <w:tcW w:w="1134" w:type="dxa"/>
            <w:vAlign w:val="center"/>
          </w:tcPr>
          <w:p>
            <w:pPr>
              <w:adjustRightInd w:val="0"/>
              <w:snapToGrid w:val="0"/>
              <w:spacing w:line="300" w:lineRule="auto"/>
              <w:jc w:val="center"/>
              <w:rPr>
                <w:snapToGrid w:val="0"/>
                <w:color w:val="000000"/>
                <w:kern w:val="0"/>
              </w:rPr>
            </w:pPr>
          </w:p>
        </w:tc>
        <w:tc>
          <w:tcPr>
            <w:tcW w:w="2670" w:type="dxa"/>
          </w:tcPr>
          <w:p>
            <w:pPr>
              <w:adjustRightInd w:val="0"/>
              <w:snapToGrid w:val="0"/>
              <w:spacing w:line="300" w:lineRule="auto"/>
              <w:jc w:val="center"/>
              <w:rPr>
                <w:snapToGrid w:val="0"/>
                <w:color w:val="000000"/>
                <w:kern w:val="0"/>
              </w:rPr>
            </w:pPr>
          </w:p>
        </w:tc>
      </w:tr>
    </w:tbl>
    <w:p>
      <w:pPr>
        <w:adjustRightInd w:val="0"/>
        <w:snapToGrid w:val="0"/>
        <w:spacing w:line="300" w:lineRule="auto"/>
        <w:rPr>
          <w:snapToGrid w:val="0"/>
          <w:color w:val="000000"/>
          <w:kern w:val="0"/>
        </w:rPr>
      </w:pPr>
    </w:p>
    <w:tbl>
      <w:tblPr>
        <w:tblStyle w:val="50"/>
        <w:tblW w:w="9074"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1"/>
        <w:gridCol w:w="2543"/>
        <w:gridCol w:w="2797"/>
        <w:gridCol w:w="269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jc w:val="center"/>
              <w:rPr>
                <w:szCs w:val="21"/>
              </w:rPr>
            </w:pPr>
            <w:r>
              <w:rPr>
                <w:rFonts w:hint="eastAsia"/>
                <w:szCs w:val="21"/>
              </w:rPr>
              <w:t>序号</w:t>
            </w:r>
          </w:p>
        </w:tc>
        <w:tc>
          <w:tcPr>
            <w:tcW w:w="2543" w:type="dxa"/>
          </w:tcPr>
          <w:p>
            <w:pPr>
              <w:jc w:val="center"/>
              <w:rPr>
                <w:szCs w:val="21"/>
              </w:rPr>
            </w:pPr>
            <w:r>
              <w:rPr>
                <w:rFonts w:hint="eastAsia"/>
                <w:szCs w:val="21"/>
              </w:rPr>
              <w:t>服务名称</w:t>
            </w:r>
          </w:p>
        </w:tc>
        <w:tc>
          <w:tcPr>
            <w:tcW w:w="2797" w:type="dxa"/>
          </w:tcPr>
          <w:p>
            <w:pPr>
              <w:jc w:val="center"/>
              <w:rPr>
                <w:szCs w:val="21"/>
              </w:rPr>
            </w:pPr>
            <w:r>
              <w:rPr>
                <w:rFonts w:hint="eastAsia"/>
                <w:szCs w:val="21"/>
              </w:rPr>
              <w:t>服务内容</w:t>
            </w:r>
          </w:p>
        </w:tc>
        <w:tc>
          <w:tcPr>
            <w:tcW w:w="2693" w:type="dxa"/>
          </w:tcPr>
          <w:p>
            <w:pPr>
              <w:jc w:val="center"/>
              <w:rPr>
                <w:szCs w:val="21"/>
              </w:rPr>
            </w:pPr>
            <w:r>
              <w:rPr>
                <w:rFonts w:hint="eastAsia"/>
                <w:szCs w:val="21"/>
              </w:rPr>
              <w:t>价格（元）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rFonts w:hint="eastAsia"/>
                <w:szCs w:val="21"/>
              </w:rPr>
              <w:t>1</w:t>
            </w:r>
          </w:p>
        </w:tc>
        <w:tc>
          <w:tcPr>
            <w:tcW w:w="2543" w:type="dxa"/>
          </w:tcPr>
          <w:p>
            <w:pPr>
              <w:jc w:val="center"/>
              <w:rPr>
                <w:szCs w:val="21"/>
              </w:rPr>
            </w:pPr>
            <w:r>
              <w:rPr>
                <w:rFonts w:hint="eastAsia"/>
                <w:szCs w:val="21"/>
              </w:rPr>
              <w:t>延续保修合同</w:t>
            </w: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r>
              <w:rPr>
                <w:szCs w:val="21"/>
              </w:rPr>
              <w:t>…</w:t>
            </w: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41" w:type="dxa"/>
          </w:tcPr>
          <w:p>
            <w:pPr>
              <w:ind w:right="-69" w:rightChars="-33"/>
              <w:jc w:val="center"/>
              <w:rPr>
                <w:szCs w:val="21"/>
              </w:rPr>
            </w:pPr>
          </w:p>
        </w:tc>
        <w:tc>
          <w:tcPr>
            <w:tcW w:w="2543" w:type="dxa"/>
          </w:tcPr>
          <w:p>
            <w:pPr>
              <w:jc w:val="center"/>
              <w:rPr>
                <w:szCs w:val="21"/>
              </w:rPr>
            </w:pPr>
          </w:p>
        </w:tc>
        <w:tc>
          <w:tcPr>
            <w:tcW w:w="2797" w:type="dxa"/>
          </w:tcPr>
          <w:p>
            <w:pPr>
              <w:jc w:val="center"/>
              <w:rPr>
                <w:rFonts w:hAnsi="宋体"/>
                <w:b/>
                <w:bCs/>
                <w:szCs w:val="21"/>
              </w:rPr>
            </w:pPr>
          </w:p>
        </w:tc>
        <w:tc>
          <w:tcPr>
            <w:tcW w:w="2693" w:type="dxa"/>
          </w:tcPr>
          <w:p>
            <w:pPr>
              <w:jc w:val="center"/>
              <w:rPr>
                <w:rFonts w:hAnsi="宋体"/>
                <w:b/>
                <w:bCs/>
                <w:szCs w:val="21"/>
              </w:rPr>
            </w:pPr>
          </w:p>
        </w:tc>
      </w:tr>
    </w:tbl>
    <w:p>
      <w:pPr>
        <w:adjustRightInd w:val="0"/>
        <w:snapToGrid w:val="0"/>
        <w:spacing w:line="300" w:lineRule="auto"/>
        <w:ind w:firstLine="285" w:firstLineChars="135"/>
        <w:jc w:val="left"/>
        <w:rPr>
          <w:rFonts w:asciiTheme="minorEastAsia" w:hAnsiTheme="minorEastAsia" w:eastAsiaTheme="minorEastAsia"/>
          <w:b/>
          <w:snapToGrid w:val="0"/>
          <w:color w:val="000000"/>
          <w:kern w:val="0"/>
        </w:rPr>
      </w:pPr>
      <w:r>
        <w:rPr>
          <w:rFonts w:hint="eastAsia" w:asciiTheme="minorEastAsia" w:hAnsiTheme="minorEastAsia" w:eastAsiaTheme="minorEastAsia"/>
          <w:b/>
          <w:snapToGrid w:val="0"/>
          <w:color w:val="000000"/>
          <w:kern w:val="0"/>
        </w:rPr>
        <w:t>注：价格最高的前</w:t>
      </w:r>
      <w:r>
        <w:rPr>
          <w:rFonts w:asciiTheme="minorEastAsia" w:hAnsiTheme="minorEastAsia" w:eastAsiaTheme="minorEastAsia"/>
          <w:b/>
          <w:snapToGrid w:val="0"/>
          <w:color w:val="000000"/>
          <w:kern w:val="0"/>
        </w:rPr>
        <w:t>5</w:t>
      </w:r>
      <w:r>
        <w:rPr>
          <w:rFonts w:hint="eastAsia" w:asciiTheme="minorEastAsia" w:hAnsiTheme="minorEastAsia" w:eastAsiaTheme="minorEastAsia"/>
          <w:b/>
          <w:snapToGrid w:val="0"/>
          <w:color w:val="000000"/>
          <w:kern w:val="0"/>
        </w:rPr>
        <w:t>项零配件、消耗品和延续保修合同的报价明细需填写于此表。</w:t>
      </w:r>
    </w:p>
    <w:p>
      <w:pPr>
        <w:adjustRightInd w:val="0"/>
        <w:snapToGrid w:val="0"/>
        <w:spacing w:line="300" w:lineRule="auto"/>
        <w:rPr>
          <w:rFonts w:asciiTheme="minorEastAsia" w:hAnsiTheme="minorEastAsia" w:eastAsiaTheme="minorEastAsia"/>
          <w:snapToGrid w:val="0"/>
          <w:kern w:val="0"/>
        </w:rPr>
      </w:pPr>
    </w:p>
    <w:p>
      <w:pPr>
        <w:adjustRightInd w:val="0"/>
        <w:snapToGrid w:val="0"/>
        <w:spacing w:line="300" w:lineRule="auto"/>
        <w:jc w:val="center"/>
        <w:rPr>
          <w:rFonts w:asciiTheme="minorEastAsia" w:hAnsiTheme="minorEastAsia" w:eastAsiaTheme="minorEastAsia"/>
          <w:snapToGrid w:val="0"/>
          <w:kern w:val="0"/>
        </w:rPr>
      </w:pPr>
      <w:r>
        <w:rPr>
          <w:rFonts w:hint="eastAsia" w:asciiTheme="minorEastAsia" w:hAnsiTheme="minorEastAsia" w:eastAsiaTheme="minorEastAsia"/>
          <w:snapToGrid w:val="0"/>
          <w:kern w:val="0"/>
        </w:rPr>
        <w:t>（四）</w:t>
      </w:r>
      <w:r>
        <w:rPr>
          <w:rFonts w:hint="eastAsia" w:ascii="宋体" w:hAnsi="宋体" w:cs="宋体"/>
          <w:color w:val="000000"/>
          <w:kern w:val="0"/>
          <w:sz w:val="24"/>
        </w:rPr>
        <w:t>【可选】</w:t>
      </w:r>
      <w:r>
        <w:rPr>
          <w:rFonts w:hint="eastAsia" w:asciiTheme="minorEastAsia" w:hAnsiTheme="minorEastAsia" w:eastAsiaTheme="minorEastAsia"/>
          <w:bCs/>
          <w:sz w:val="24"/>
        </w:rPr>
        <w:t>供应商认为需要涉及的其他内容报价清单</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pPr>
      <w:r>
        <w:rPr>
          <w:rFonts w:hint="eastAsia"/>
          <w:snapToGrid w:val="0"/>
          <w:kern w:val="0"/>
        </w:rPr>
        <w:t>年    月   日</w:t>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4" w:name="_Toc44691167"/>
      <w:bookmarkStart w:id="65" w:name="_Toc44690435"/>
      <w:bookmarkStart w:id="66" w:name="_Toc44691399"/>
      <w:bookmarkStart w:id="67" w:name="_Toc44690708"/>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格式7  技术规格</w:t>
      </w:r>
      <w:bookmarkEnd w:id="64"/>
      <w:bookmarkEnd w:id="65"/>
      <w:bookmarkEnd w:id="66"/>
      <w:bookmarkEnd w:id="67"/>
    </w:p>
    <w:p>
      <w:pPr>
        <w:pStyle w:val="7"/>
      </w:pPr>
    </w:p>
    <w:p>
      <w:pPr>
        <w:spacing w:line="360" w:lineRule="auto"/>
        <w:ind w:left="420"/>
        <w:rPr>
          <w:rFonts w:ascii="宋体" w:hAnsi="宋体"/>
        </w:rPr>
      </w:pPr>
      <w:r>
        <w:rPr>
          <w:rFonts w:hint="eastAsia" w:ascii="宋体" w:hAnsi="宋体"/>
        </w:rPr>
        <w:t>1、对投标产品的整体描述（包括采用文字、表格等形式）</w:t>
      </w:r>
    </w:p>
    <w:p>
      <w:pPr>
        <w:spacing w:line="360" w:lineRule="auto"/>
        <w:ind w:left="420"/>
        <w:rPr>
          <w:rFonts w:ascii="宋体" w:hAnsi="宋体"/>
        </w:rPr>
      </w:pPr>
      <w:r>
        <w:rPr>
          <w:rFonts w:hint="eastAsia" w:ascii="宋体" w:hAnsi="宋体"/>
        </w:rPr>
        <w:t>2、投标产品采用的技术标准</w:t>
      </w:r>
    </w:p>
    <w:p>
      <w:pPr>
        <w:spacing w:line="360" w:lineRule="auto"/>
        <w:ind w:left="420"/>
        <w:rPr>
          <w:rFonts w:ascii="宋体" w:hAnsi="宋体"/>
        </w:rPr>
      </w:pPr>
      <w:r>
        <w:rPr>
          <w:rFonts w:hint="eastAsia" w:ascii="宋体" w:hAnsi="宋体"/>
        </w:rPr>
        <w:t>3、投标产品的性能特点（包括新技术、新工艺、新材料的应用等）</w:t>
      </w:r>
    </w:p>
    <w:p>
      <w:pPr>
        <w:spacing w:line="360" w:lineRule="auto"/>
        <w:ind w:left="420"/>
        <w:rPr>
          <w:rFonts w:ascii="宋体" w:hAnsi="宋体"/>
        </w:rPr>
      </w:pPr>
      <w:r>
        <w:rPr>
          <w:rFonts w:hint="eastAsia" w:ascii="宋体" w:hAnsi="宋体"/>
        </w:rPr>
        <w:t>4、投标产品的外形尺寸图、成品的彩色图样等</w:t>
      </w:r>
    </w:p>
    <w:p>
      <w:pPr>
        <w:spacing w:line="360" w:lineRule="auto"/>
        <w:ind w:left="420"/>
        <w:rPr>
          <w:rFonts w:ascii="宋体" w:hAnsi="宋体"/>
        </w:rPr>
      </w:pPr>
      <w:r>
        <w:rPr>
          <w:rFonts w:hint="eastAsia" w:ascii="宋体" w:hAnsi="宋体"/>
        </w:rPr>
        <w:t>5、投标产品的说明书等</w:t>
      </w:r>
    </w:p>
    <w:p>
      <w:pPr>
        <w:spacing w:line="360" w:lineRule="auto"/>
        <w:ind w:left="420"/>
        <w:rPr>
          <w:rFonts w:ascii="宋体" w:hAnsi="宋体"/>
        </w:rPr>
      </w:pPr>
      <w:r>
        <w:rPr>
          <w:rFonts w:hint="eastAsia" w:ascii="宋体" w:hAnsi="宋体"/>
        </w:rPr>
        <w:t>6、其它</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left"/>
        <w:rPr>
          <w:rFonts w:ascii="Times New Roman" w:hAnsi="Times New Roman"/>
          <w:b/>
          <w:sz w:val="21"/>
          <w:szCs w:val="21"/>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交付进度</w:t>
      </w:r>
    </w:p>
    <w:p/>
    <w:p>
      <w:pPr>
        <w:jc w:val="center"/>
      </w:pPr>
      <w:r>
        <w:t>货物交付进度表</w:t>
      </w:r>
    </w:p>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530"/>
        <w:gridCol w:w="153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交付地点</w:t>
            </w:r>
          </w:p>
        </w:tc>
        <w:tc>
          <w:tcPr>
            <w:tcW w:w="153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c>
          <w:tcPr>
            <w:tcW w:w="1530" w:type="dxa"/>
          </w:tcPr>
          <w:p>
            <w:pPr>
              <w:autoSpaceDE w:val="0"/>
              <w:autoSpaceDN w:val="0"/>
              <w:adjustRightInd w:val="0"/>
              <w:spacing w:before="120" w:after="120" w:line="240" w:lineRule="atLeast"/>
              <w:ind w:left="15" w:right="28"/>
              <w:jc w:val="center"/>
              <w:rPr>
                <w:kern w:val="0"/>
                <w:sz w:val="18"/>
                <w:szCs w:val="22"/>
              </w:rPr>
            </w:pPr>
          </w:p>
        </w:tc>
      </w:tr>
    </w:tbl>
    <w:p/>
    <w:p/>
    <w:p>
      <w:pPr>
        <w:jc w:val="center"/>
      </w:pPr>
      <w:r>
        <w:t>安装调试进度表</w:t>
      </w:r>
    </w:p>
    <w:p>
      <w:pPr>
        <w:jc w:val="center"/>
      </w:pP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40" w:type="dxa"/>
          <w:bottom w:w="0" w:type="dxa"/>
          <w:right w:w="40" w:type="dxa"/>
        </w:tblCellMar>
      </w:tblPr>
      <w:tblGrid>
        <w:gridCol w:w="630"/>
        <w:gridCol w:w="2520"/>
        <w:gridCol w:w="735"/>
        <w:gridCol w:w="735"/>
        <w:gridCol w:w="1500"/>
        <w:gridCol w:w="1851"/>
        <w:gridCol w:w="1209"/>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r>
              <w:rPr>
                <w:kern w:val="0"/>
                <w:sz w:val="18"/>
                <w:szCs w:val="22"/>
              </w:rPr>
              <w:t>序号</w:t>
            </w:r>
          </w:p>
        </w:tc>
        <w:tc>
          <w:tcPr>
            <w:tcW w:w="252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名    称</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单位</w:t>
            </w:r>
          </w:p>
        </w:tc>
        <w:tc>
          <w:tcPr>
            <w:tcW w:w="735"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数量</w:t>
            </w:r>
          </w:p>
        </w:tc>
        <w:tc>
          <w:tcPr>
            <w:tcW w:w="1500" w:type="dxa"/>
          </w:tcPr>
          <w:p>
            <w:pPr>
              <w:autoSpaceDE w:val="0"/>
              <w:autoSpaceDN w:val="0"/>
              <w:adjustRightInd w:val="0"/>
              <w:spacing w:before="120" w:after="120" w:line="240" w:lineRule="atLeast"/>
              <w:ind w:left="15" w:right="28"/>
              <w:jc w:val="center"/>
              <w:rPr>
                <w:kern w:val="0"/>
                <w:sz w:val="18"/>
                <w:szCs w:val="22"/>
              </w:rPr>
            </w:pPr>
            <w:r>
              <w:rPr>
                <w:kern w:val="0"/>
                <w:sz w:val="18"/>
                <w:szCs w:val="22"/>
              </w:rPr>
              <w:t>日期</w:t>
            </w:r>
          </w:p>
        </w:tc>
        <w:tc>
          <w:tcPr>
            <w:tcW w:w="1851"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安装调试地点</w:t>
            </w:r>
          </w:p>
        </w:tc>
        <w:tc>
          <w:tcPr>
            <w:tcW w:w="1209" w:type="dxa"/>
          </w:tcPr>
          <w:p>
            <w:pPr>
              <w:autoSpaceDE w:val="0"/>
              <w:autoSpaceDN w:val="0"/>
              <w:adjustRightInd w:val="0"/>
              <w:spacing w:before="120" w:after="120" w:line="240" w:lineRule="atLeast"/>
              <w:ind w:left="15" w:right="28"/>
              <w:jc w:val="center"/>
              <w:rPr>
                <w:kern w:val="0"/>
                <w:sz w:val="18"/>
                <w:szCs w:val="22"/>
              </w:rPr>
            </w:pPr>
            <w:r>
              <w:rPr>
                <w:kern w:val="0"/>
                <w:sz w:val="18"/>
                <w:szCs w:val="22"/>
              </w:rPr>
              <w:t>备  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40" w:type="dxa"/>
            <w:bottom w:w="0" w:type="dxa"/>
            <w:right w:w="40" w:type="dxa"/>
          </w:tblCellMar>
        </w:tblPrEx>
        <w:trPr>
          <w:tblHeader/>
          <w:jc w:val="center"/>
        </w:trPr>
        <w:tc>
          <w:tcPr>
            <w:tcW w:w="630" w:type="dxa"/>
          </w:tcPr>
          <w:p>
            <w:pPr>
              <w:autoSpaceDE w:val="0"/>
              <w:autoSpaceDN w:val="0"/>
              <w:adjustRightInd w:val="0"/>
              <w:spacing w:before="120" w:after="120" w:line="240" w:lineRule="atLeast"/>
              <w:ind w:left="28" w:right="28"/>
              <w:jc w:val="center"/>
              <w:rPr>
                <w:kern w:val="0"/>
                <w:sz w:val="18"/>
                <w:szCs w:val="22"/>
              </w:rPr>
            </w:pPr>
          </w:p>
        </w:tc>
        <w:tc>
          <w:tcPr>
            <w:tcW w:w="2520"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735" w:type="dxa"/>
          </w:tcPr>
          <w:p>
            <w:pPr>
              <w:autoSpaceDE w:val="0"/>
              <w:autoSpaceDN w:val="0"/>
              <w:adjustRightInd w:val="0"/>
              <w:spacing w:before="120" w:after="120" w:line="240" w:lineRule="atLeast"/>
              <w:ind w:left="15" w:right="28"/>
              <w:jc w:val="center"/>
              <w:rPr>
                <w:kern w:val="0"/>
                <w:sz w:val="18"/>
                <w:szCs w:val="22"/>
              </w:rPr>
            </w:pPr>
          </w:p>
        </w:tc>
        <w:tc>
          <w:tcPr>
            <w:tcW w:w="1500" w:type="dxa"/>
          </w:tcPr>
          <w:p>
            <w:pPr>
              <w:autoSpaceDE w:val="0"/>
              <w:autoSpaceDN w:val="0"/>
              <w:adjustRightInd w:val="0"/>
              <w:spacing w:before="120" w:after="120" w:line="240" w:lineRule="atLeast"/>
              <w:ind w:left="15" w:right="28"/>
              <w:jc w:val="center"/>
              <w:rPr>
                <w:kern w:val="0"/>
                <w:sz w:val="18"/>
                <w:szCs w:val="22"/>
              </w:rPr>
            </w:pPr>
          </w:p>
        </w:tc>
        <w:tc>
          <w:tcPr>
            <w:tcW w:w="1851" w:type="dxa"/>
          </w:tcPr>
          <w:p>
            <w:pPr>
              <w:autoSpaceDE w:val="0"/>
              <w:autoSpaceDN w:val="0"/>
              <w:adjustRightInd w:val="0"/>
              <w:spacing w:before="120" w:after="120" w:line="240" w:lineRule="atLeast"/>
              <w:ind w:left="15" w:right="28"/>
              <w:jc w:val="center"/>
              <w:rPr>
                <w:kern w:val="0"/>
                <w:sz w:val="18"/>
                <w:szCs w:val="22"/>
              </w:rPr>
            </w:pPr>
          </w:p>
        </w:tc>
        <w:tc>
          <w:tcPr>
            <w:tcW w:w="1209" w:type="dxa"/>
          </w:tcPr>
          <w:p>
            <w:pPr>
              <w:autoSpaceDE w:val="0"/>
              <w:autoSpaceDN w:val="0"/>
              <w:adjustRightInd w:val="0"/>
              <w:spacing w:before="120" w:after="120" w:line="240" w:lineRule="atLeast"/>
              <w:ind w:left="15" w:right="28"/>
              <w:jc w:val="center"/>
              <w:rPr>
                <w:kern w:val="0"/>
                <w:sz w:val="18"/>
                <w:szCs w:val="22"/>
              </w:rPr>
            </w:pPr>
          </w:p>
        </w:tc>
      </w:tr>
    </w:tbl>
    <w:p>
      <w:pPr>
        <w:jc w:val="cente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firstLine="6195" w:firstLineChars="2950"/>
        <w:rPr>
          <w:snapToGrid w:val="0"/>
          <w:kern w:val="0"/>
        </w:rPr>
      </w:pPr>
      <w:r>
        <w:rPr>
          <w:rFonts w:hint="eastAsia"/>
          <w:snapToGrid w:val="0"/>
          <w:kern w:val="0"/>
        </w:rPr>
        <w:t>年       月      日</w:t>
      </w:r>
    </w:p>
    <w:p>
      <w:pPr>
        <w:pStyle w:val="2"/>
        <w:spacing w:before="0"/>
        <w:rPr>
          <w:rFonts w:ascii="宋体" w:hAnsi="宋体"/>
          <w:sz w:val="28"/>
        </w:rPr>
      </w:pPr>
    </w:p>
    <w:p/>
    <w:p/>
    <w:p/>
    <w:p/>
    <w:p/>
    <w:p/>
    <w:p/>
    <w:p/>
    <w:p>
      <w:pPr>
        <w:widowControl/>
        <w:jc w:val="left"/>
        <w:rPr>
          <w:rFonts w:asciiTheme="minorEastAsia" w:hAnsiTheme="minorEastAsia" w:eastAsiaTheme="minorEastAsia"/>
          <w:b/>
          <w:sz w:val="24"/>
        </w:rPr>
      </w:pPr>
      <w:bookmarkStart w:id="68" w:name="_Toc44691400"/>
      <w:bookmarkStart w:id="69" w:name="_Toc44691168"/>
      <w:bookmarkStart w:id="70" w:name="_Toc44690709"/>
      <w:bookmarkStart w:id="71" w:name="_Toc44690436"/>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格式9  售后服务和质量承诺</w:t>
      </w:r>
      <w:bookmarkEnd w:id="68"/>
      <w:bookmarkEnd w:id="69"/>
      <w:bookmarkEnd w:id="70"/>
      <w:bookmarkEnd w:id="71"/>
    </w:p>
    <w:p>
      <w:pPr>
        <w:adjustRightInd w:val="0"/>
        <w:snapToGrid w:val="0"/>
        <w:spacing w:line="360" w:lineRule="auto"/>
        <w:rPr>
          <w:rFonts w:ascii="宋体" w:hAnsi="宋体"/>
        </w:rPr>
      </w:pPr>
    </w:p>
    <w:p>
      <w:pPr>
        <w:adjustRightInd w:val="0"/>
        <w:snapToGrid w:val="0"/>
        <w:spacing w:line="360" w:lineRule="auto"/>
        <w:rPr>
          <w:rFonts w:ascii="宋体" w:hAnsi="宋体"/>
        </w:rPr>
      </w:pPr>
      <w:r>
        <w:rPr>
          <w:rFonts w:hint="eastAsia" w:ascii="宋体" w:hAnsi="宋体"/>
        </w:rPr>
        <w:t>1、</w:t>
      </w:r>
      <w:r>
        <w:rPr>
          <w:rFonts w:hint="eastAsia"/>
        </w:rPr>
        <w:t>质保期和保修期服务承诺</w:t>
      </w:r>
    </w:p>
    <w:p>
      <w:pPr>
        <w:adjustRightInd w:val="0"/>
        <w:snapToGrid w:val="0"/>
        <w:spacing w:line="360" w:lineRule="auto"/>
        <w:rPr>
          <w:rFonts w:ascii="宋体" w:hAnsi="宋体"/>
        </w:rPr>
      </w:pPr>
      <w:r>
        <w:rPr>
          <w:rFonts w:hint="eastAsia" w:ascii="宋体" w:hAnsi="宋体"/>
        </w:rPr>
        <w:t>2、</w:t>
      </w:r>
      <w:r>
        <w:rPr>
          <w:rFonts w:hint="eastAsia"/>
        </w:rPr>
        <w:t>售后服务机构及维护人员配置</w:t>
      </w:r>
    </w:p>
    <w:p>
      <w:pPr>
        <w:adjustRightInd w:val="0"/>
        <w:snapToGrid w:val="0"/>
        <w:spacing w:line="360" w:lineRule="auto"/>
        <w:rPr>
          <w:rFonts w:ascii="宋体" w:hAnsi="宋体"/>
        </w:rPr>
      </w:pPr>
      <w:r>
        <w:rPr>
          <w:rFonts w:hint="eastAsia" w:ascii="宋体" w:hAnsi="宋体"/>
        </w:rPr>
        <w:t>3、</w:t>
      </w:r>
      <w:r>
        <w:rPr>
          <w:rFonts w:hint="eastAsia"/>
        </w:rPr>
        <w:t>售后服务应急措施</w:t>
      </w:r>
    </w:p>
    <w:p>
      <w:pPr>
        <w:adjustRightInd w:val="0"/>
        <w:snapToGrid w:val="0"/>
        <w:spacing w:line="360" w:lineRule="auto"/>
        <w:rPr>
          <w:rFonts w:ascii="宋体" w:hAnsi="宋体"/>
        </w:rPr>
      </w:pPr>
      <w:r>
        <w:rPr>
          <w:rFonts w:hint="eastAsia" w:ascii="宋体" w:hAnsi="宋体"/>
        </w:rPr>
        <w:t>4、</w:t>
      </w:r>
      <w:r>
        <w:rPr>
          <w:rFonts w:hint="eastAsia"/>
        </w:rPr>
        <w:t>故障或技术支持响应时间</w:t>
      </w:r>
    </w:p>
    <w:p>
      <w:pPr>
        <w:adjustRightInd w:val="0"/>
        <w:snapToGrid w:val="0"/>
        <w:spacing w:line="360" w:lineRule="auto"/>
        <w:rPr>
          <w:rFonts w:ascii="宋体" w:hAnsi="宋体"/>
        </w:rPr>
      </w:pPr>
      <w:r>
        <w:rPr>
          <w:rFonts w:hint="eastAsia" w:ascii="宋体" w:hAnsi="宋体"/>
        </w:rPr>
        <w:t>5、技术培训计划</w:t>
      </w:r>
    </w:p>
    <w:p>
      <w:pPr>
        <w:adjustRightInd w:val="0"/>
        <w:snapToGrid w:val="0"/>
        <w:spacing w:line="360" w:lineRule="auto"/>
        <w:rPr>
          <w:rFonts w:ascii="宋体" w:hAnsi="宋体"/>
        </w:rPr>
      </w:pPr>
      <w:r>
        <w:rPr>
          <w:rFonts w:hint="eastAsia" w:ascii="宋体" w:hAnsi="宋体"/>
        </w:rPr>
        <w:t>6、备/配件支持计划</w:t>
      </w:r>
    </w:p>
    <w:p>
      <w:pPr>
        <w:adjustRightInd w:val="0"/>
        <w:snapToGrid w:val="0"/>
        <w:spacing w:line="360" w:lineRule="auto"/>
        <w:rPr>
          <w:rFonts w:ascii="宋体" w:hAnsi="宋体"/>
          <w:bCs/>
        </w:rPr>
      </w:pPr>
      <w:r>
        <w:rPr>
          <w:rFonts w:hint="eastAsia" w:ascii="宋体" w:hAnsi="宋体"/>
        </w:rPr>
        <w:t>7、非</w:t>
      </w:r>
      <w:r>
        <w:rPr>
          <w:rFonts w:hint="eastAsia" w:ascii="宋体" w:hAnsi="宋体"/>
          <w:bCs/>
        </w:rPr>
        <w:t>保修期维修费用收取标准</w:t>
      </w:r>
    </w:p>
    <w:p>
      <w:pPr>
        <w:adjustRightInd w:val="0"/>
        <w:snapToGrid w:val="0"/>
        <w:spacing w:line="300" w:lineRule="auto"/>
        <w:rPr>
          <w:rFonts w:ascii="宋体" w:hAnsi="宋体"/>
          <w:bCs/>
        </w:rPr>
      </w:pPr>
      <w:r>
        <w:rPr>
          <w:rFonts w:hint="eastAsia" w:ascii="宋体" w:hAnsi="宋体"/>
          <w:bCs/>
        </w:rPr>
        <w:t>8、其它</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tabs>
          <w:tab w:val="left" w:pos="480"/>
        </w:tabs>
        <w:adjustRightInd w:val="0"/>
        <w:snapToGrid w:val="0"/>
        <w:spacing w:line="300" w:lineRule="auto"/>
        <w:rPr>
          <w:snapToGrid w:val="0"/>
          <w:kern w:val="0"/>
        </w:rPr>
      </w:pPr>
      <w:r>
        <w:rPr>
          <w:snapToGrid w:val="0"/>
          <w:kern w:val="0"/>
        </w:rPr>
        <w:tab/>
      </w: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48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p>
    <w:p>
      <w:pPr>
        <w:tabs>
          <w:tab w:val="left" w:pos="1200"/>
        </w:tabs>
        <w:adjustRightInd w:val="0"/>
        <w:snapToGrid w:val="0"/>
        <w:spacing w:line="300" w:lineRule="auto"/>
        <w:rPr>
          <w:snapToGrid w:val="0"/>
          <w:kern w:val="0"/>
        </w:rPr>
      </w:pPr>
      <w:r>
        <w:rPr>
          <w:snapToGrid w:val="0"/>
          <w:kern w:val="0"/>
        </w:rPr>
        <w:br w:type="page"/>
      </w:r>
    </w:p>
    <w:p>
      <w:pPr>
        <w:tabs>
          <w:tab w:val="left" w:pos="1200"/>
        </w:tabs>
        <w:adjustRightInd w:val="0"/>
        <w:snapToGrid w:val="0"/>
        <w:spacing w:line="300" w:lineRule="auto"/>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2" w:name="_格式5__"/>
      <w:bookmarkEnd w:id="72"/>
      <w:bookmarkStart w:id="73" w:name="q15"/>
      <w:bookmarkEnd w:id="73"/>
      <w:bookmarkStart w:id="74" w:name="_格式3__"/>
      <w:bookmarkEnd w:id="74"/>
      <w:bookmarkStart w:id="75" w:name="q16"/>
      <w:bookmarkEnd w:id="75"/>
      <w:bookmarkStart w:id="76" w:name="q17"/>
      <w:bookmarkEnd w:id="76"/>
      <w:bookmarkStart w:id="77" w:name="_格式4__"/>
      <w:bookmarkEnd w:id="77"/>
      <w:bookmarkStart w:id="78" w:name="_格式2__投标保证金凭证"/>
      <w:bookmarkEnd w:id="78"/>
      <w:r>
        <w:rPr>
          <w:rFonts w:asciiTheme="minorEastAsia" w:hAnsiTheme="minorEastAsia" w:eastAsiaTheme="minorEastAsia"/>
          <w:sz w:val="24"/>
        </w:rPr>
        <w:tab/>
      </w:r>
      <w:bookmarkStart w:id="79" w:name="_Toc44691401"/>
      <w:bookmarkStart w:id="80" w:name="_Toc44690710"/>
      <w:bookmarkStart w:id="81" w:name="_Toc44690437"/>
      <w:bookmarkStart w:id="82" w:name="_Toc44691169"/>
      <w:r>
        <w:rPr>
          <w:rFonts w:hint="eastAsia" w:asciiTheme="minorEastAsia" w:hAnsiTheme="minorEastAsia" w:eastAsiaTheme="minorEastAsia"/>
          <w:sz w:val="24"/>
        </w:rPr>
        <w:t>格式10  投标人情况介绍</w:t>
      </w:r>
      <w:bookmarkEnd w:id="79"/>
      <w:bookmarkEnd w:id="80"/>
      <w:bookmarkEnd w:id="81"/>
      <w:bookmarkEnd w:id="82"/>
    </w:p>
    <w:p>
      <w:pPr>
        <w:snapToGrid w:val="0"/>
        <w:spacing w:line="300" w:lineRule="auto"/>
        <w:rPr>
          <w:rFonts w:ascii="宋体" w:hAnsi="宋体"/>
        </w:rPr>
      </w:pPr>
    </w:p>
    <w:p>
      <w:pPr>
        <w:adjustRightInd w:val="0"/>
        <w:snapToGrid w:val="0"/>
        <w:spacing w:line="360" w:lineRule="auto"/>
        <w:rPr>
          <w:rFonts w:ascii="宋体" w:hAnsi="宋体"/>
          <w:bCs/>
          <w:snapToGrid w:val="0"/>
          <w:kern w:val="0"/>
        </w:rPr>
      </w:pPr>
      <w:r>
        <w:rPr>
          <w:rFonts w:ascii="宋体" w:hAnsi="宋体"/>
          <w:bCs/>
          <w:snapToGrid w:val="0"/>
          <w:kern w:val="0"/>
        </w:rPr>
        <w:t>1、</w:t>
      </w:r>
      <w:r>
        <w:rPr>
          <w:rFonts w:hint="eastAsia" w:ascii="宋体" w:hAnsi="宋体"/>
          <w:bCs/>
          <w:snapToGrid w:val="0"/>
          <w:kern w:val="0"/>
        </w:rPr>
        <w:t>投标人基本情况简介，格式自拟，包括但不限于经营范围、依法纳税记录等；</w:t>
      </w:r>
    </w:p>
    <w:p>
      <w:pPr>
        <w:adjustRightInd w:val="0"/>
        <w:snapToGrid w:val="0"/>
        <w:spacing w:line="360" w:lineRule="auto"/>
        <w:rPr>
          <w:rFonts w:ascii="宋体" w:hAnsi="宋体"/>
          <w:bCs/>
          <w:snapToGrid w:val="0"/>
          <w:kern w:val="0"/>
          <w:szCs w:val="21"/>
        </w:rPr>
      </w:pP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2、</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adjustRightInd w:val="0"/>
        <w:snapToGrid w:val="0"/>
        <w:spacing w:line="360" w:lineRule="auto"/>
        <w:rPr>
          <w:bCs/>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jc w:val="center"/>
        <w:rPr>
          <w:snapToGrid w:val="0"/>
          <w:kern w:val="0"/>
        </w:rPr>
      </w:pPr>
    </w:p>
    <w:p>
      <w:pPr>
        <w:spacing w:line="360" w:lineRule="auto"/>
        <w:jc w:val="center"/>
        <w:rPr>
          <w:b/>
          <w:szCs w:val="21"/>
        </w:rPr>
      </w:pPr>
      <w:bookmarkStart w:id="83" w:name="_格式7__投标人资格声明"/>
      <w:bookmarkEnd w:id="83"/>
      <w:bookmarkStart w:id="84" w:name="q40"/>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格式11  偏离表</w:t>
      </w:r>
    </w:p>
    <w:bookmarkEnd w:id="84"/>
    <w:p>
      <w:pPr>
        <w:spacing w:line="360" w:lineRule="auto"/>
        <w:jc w:val="center"/>
      </w:pPr>
    </w:p>
    <w:p>
      <w:pPr>
        <w:snapToGrid w:val="0"/>
        <w:spacing w:line="360" w:lineRule="auto"/>
        <w:jc w:val="center"/>
        <w:rPr>
          <w:b/>
        </w:rPr>
      </w:pPr>
      <w:r>
        <w:rPr>
          <w:rFonts w:hint="eastAsia"/>
          <w:b/>
        </w:rPr>
        <w:t>技术规格偏离表</w:t>
      </w:r>
    </w:p>
    <w:tbl>
      <w:tblPr>
        <w:tblStyle w:val="50"/>
        <w:tblW w:w="100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418"/>
        <w:gridCol w:w="2482"/>
        <w:gridCol w:w="1701"/>
        <w:gridCol w:w="1275"/>
        <w:gridCol w:w="2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r>
              <w:rPr>
                <w:rFonts w:hint="eastAsia" w:ascii="宋体" w:hAnsi="宋体"/>
                <w:szCs w:val="21"/>
              </w:rPr>
              <w:t>序号</w:t>
            </w:r>
          </w:p>
        </w:tc>
        <w:tc>
          <w:tcPr>
            <w:tcW w:w="1418" w:type="dxa"/>
            <w:vAlign w:val="center"/>
          </w:tcPr>
          <w:p>
            <w:pPr>
              <w:spacing w:line="360" w:lineRule="auto"/>
              <w:jc w:val="center"/>
              <w:rPr>
                <w:rFonts w:ascii="宋体" w:hAnsi="宋体"/>
                <w:szCs w:val="21"/>
              </w:rPr>
            </w:pPr>
            <w:r>
              <w:rPr>
                <w:rFonts w:hint="eastAsia" w:ascii="宋体" w:hAnsi="宋体"/>
                <w:szCs w:val="21"/>
              </w:rPr>
              <w:t>货物名称</w:t>
            </w:r>
          </w:p>
        </w:tc>
        <w:tc>
          <w:tcPr>
            <w:tcW w:w="2482" w:type="dxa"/>
            <w:vAlign w:val="center"/>
          </w:tcPr>
          <w:p>
            <w:pPr>
              <w:spacing w:line="360" w:lineRule="auto"/>
              <w:jc w:val="center"/>
              <w:rPr>
                <w:rFonts w:ascii="宋体" w:hAnsi="宋体"/>
                <w:szCs w:val="21"/>
              </w:rPr>
            </w:pPr>
            <w:r>
              <w:rPr>
                <w:rFonts w:hint="eastAsia" w:ascii="宋体" w:hAnsi="宋体"/>
                <w:szCs w:val="21"/>
              </w:rPr>
              <w:t>招标技术要求</w:t>
            </w:r>
          </w:p>
        </w:tc>
        <w:tc>
          <w:tcPr>
            <w:tcW w:w="1701" w:type="dxa"/>
            <w:vAlign w:val="center"/>
          </w:tcPr>
          <w:p>
            <w:pPr>
              <w:spacing w:line="360" w:lineRule="auto"/>
              <w:jc w:val="center"/>
              <w:rPr>
                <w:rFonts w:ascii="宋体" w:hAnsi="宋体"/>
                <w:szCs w:val="21"/>
              </w:rPr>
            </w:pPr>
            <w:r>
              <w:rPr>
                <w:rFonts w:hint="eastAsia" w:ascii="宋体" w:hAnsi="宋体"/>
                <w:szCs w:val="21"/>
              </w:rPr>
              <w:t>投标技术响应</w:t>
            </w:r>
          </w:p>
        </w:tc>
        <w:tc>
          <w:tcPr>
            <w:tcW w:w="1275" w:type="dxa"/>
            <w:vAlign w:val="center"/>
          </w:tcPr>
          <w:p>
            <w:pPr>
              <w:spacing w:line="360" w:lineRule="auto"/>
              <w:jc w:val="center"/>
              <w:rPr>
                <w:rFonts w:ascii="宋体" w:hAnsi="宋体"/>
                <w:szCs w:val="21"/>
              </w:rPr>
            </w:pPr>
            <w:r>
              <w:rPr>
                <w:rFonts w:hint="eastAsia" w:ascii="宋体" w:hAnsi="宋体"/>
                <w:szCs w:val="21"/>
              </w:rPr>
              <w:t>偏离情况</w:t>
            </w:r>
          </w:p>
        </w:tc>
        <w:tc>
          <w:tcPr>
            <w:tcW w:w="2304"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jc w:val="center"/>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851" w:type="dxa"/>
            <w:vAlign w:val="center"/>
          </w:tcPr>
          <w:p>
            <w:pPr>
              <w:spacing w:line="360" w:lineRule="auto"/>
              <w:jc w:val="center"/>
              <w:rPr>
                <w:rFonts w:ascii="宋体" w:hAnsi="宋体"/>
                <w:szCs w:val="21"/>
              </w:rPr>
            </w:pPr>
          </w:p>
        </w:tc>
        <w:tc>
          <w:tcPr>
            <w:tcW w:w="1418" w:type="dxa"/>
            <w:vAlign w:val="center"/>
          </w:tcPr>
          <w:p>
            <w:pPr>
              <w:spacing w:line="360" w:lineRule="auto"/>
              <w:jc w:val="center"/>
              <w:rPr>
                <w:rFonts w:ascii="宋体" w:hAnsi="宋体"/>
                <w:szCs w:val="21"/>
              </w:rPr>
            </w:pPr>
          </w:p>
        </w:tc>
        <w:tc>
          <w:tcPr>
            <w:tcW w:w="2482" w:type="dxa"/>
            <w:vAlign w:val="center"/>
          </w:tcPr>
          <w:p>
            <w:pPr>
              <w:spacing w:line="360" w:lineRule="auto"/>
              <w:jc w:val="center"/>
              <w:rPr>
                <w:rFonts w:ascii="宋体" w:hAnsi="宋体"/>
                <w:szCs w:val="21"/>
              </w:rPr>
            </w:pPr>
          </w:p>
        </w:tc>
        <w:tc>
          <w:tcPr>
            <w:tcW w:w="1701" w:type="dxa"/>
            <w:vAlign w:val="center"/>
          </w:tcPr>
          <w:p>
            <w:pPr>
              <w:spacing w:line="360" w:lineRule="auto"/>
              <w:jc w:val="center"/>
              <w:rPr>
                <w:rFonts w:ascii="宋体" w:hAnsi="宋体"/>
                <w:szCs w:val="21"/>
              </w:rPr>
            </w:pPr>
          </w:p>
        </w:tc>
        <w:tc>
          <w:tcPr>
            <w:tcW w:w="1275" w:type="dxa"/>
            <w:vAlign w:val="center"/>
          </w:tcPr>
          <w:p>
            <w:pPr>
              <w:spacing w:line="360" w:lineRule="auto"/>
              <w:jc w:val="center"/>
              <w:rPr>
                <w:rFonts w:ascii="宋体" w:hAnsi="宋体"/>
                <w:szCs w:val="21"/>
              </w:rPr>
            </w:pPr>
          </w:p>
        </w:tc>
        <w:tc>
          <w:tcPr>
            <w:tcW w:w="2304" w:type="dxa"/>
            <w:vAlign w:val="center"/>
          </w:tcPr>
          <w:p>
            <w:pPr>
              <w:spacing w:line="360" w:lineRule="auto"/>
              <w:jc w:val="center"/>
              <w:rPr>
                <w:rFonts w:ascii="宋体" w:hAnsi="宋体"/>
                <w:szCs w:val="21"/>
              </w:rPr>
            </w:pPr>
          </w:p>
        </w:tc>
      </w:tr>
    </w:tbl>
    <w:p>
      <w:pPr>
        <w:spacing w:line="400" w:lineRule="exact"/>
        <w:rPr>
          <w:rFonts w:ascii="宋体" w:hAnsi="宋体" w:cs="Arial"/>
          <w:b/>
          <w:bCs/>
          <w:szCs w:val="21"/>
        </w:rPr>
      </w:pPr>
      <w:r>
        <w:rPr>
          <w:rFonts w:hint="eastAsia" w:ascii="宋体" w:hAnsi="宋体" w:cs="Arial"/>
          <w:bCs/>
          <w:szCs w:val="21"/>
        </w:rPr>
        <w:t>备注：1、“</w:t>
      </w:r>
      <w:r>
        <w:rPr>
          <w:rFonts w:hint="eastAsia" w:ascii="宋体" w:hAnsi="宋体"/>
          <w:szCs w:val="21"/>
        </w:rPr>
        <w:t>招标技术要求</w:t>
      </w:r>
      <w:r>
        <w:rPr>
          <w:rFonts w:hint="eastAsia" w:ascii="宋体" w:hAnsi="宋体" w:cs="Arial"/>
          <w:bCs/>
          <w:szCs w:val="21"/>
        </w:rPr>
        <w:t>”一栏逐一列出招标文件第二章《项目需求》中“</w:t>
      </w:r>
      <w:r>
        <w:rPr>
          <w:rFonts w:hint="eastAsia" w:ascii="宋体" w:hAnsi="宋体" w:cs="Arial"/>
          <w:b/>
          <w:bCs/>
          <w:szCs w:val="21"/>
        </w:rPr>
        <w:t>二、</w:t>
      </w:r>
      <w:r>
        <w:rPr>
          <w:rFonts w:hint="eastAsia" w:ascii="宋体" w:hAnsi="宋体"/>
          <w:b/>
          <w:bCs/>
          <w:snapToGrid w:val="0"/>
          <w:szCs w:val="21"/>
        </w:rPr>
        <w:t>技术要求</w:t>
      </w:r>
      <w:r>
        <w:rPr>
          <w:rFonts w:hint="eastAsia" w:ascii="宋体" w:hAnsi="宋体" w:cs="Arial"/>
          <w:bCs/>
          <w:szCs w:val="21"/>
        </w:rPr>
        <w:t>”的内容；“</w:t>
      </w:r>
      <w:r>
        <w:rPr>
          <w:rFonts w:hint="eastAsia" w:ascii="宋体" w:hAnsi="宋体"/>
          <w:szCs w:val="21"/>
        </w:rPr>
        <w:t>投标技术响应</w:t>
      </w:r>
      <w:r>
        <w:rPr>
          <w:rFonts w:hint="eastAsia" w:ascii="宋体" w:hAnsi="宋体" w:cs="Arial"/>
          <w:bCs/>
          <w:szCs w:val="21"/>
        </w:rPr>
        <w:t>”一栏应详细填写投标产品的具体参数响应情况。</w:t>
      </w:r>
    </w:p>
    <w:p>
      <w:pPr>
        <w:spacing w:line="400" w:lineRule="exact"/>
        <w:ind w:firstLine="424" w:firstLineChars="202"/>
        <w:rPr>
          <w:rFonts w:ascii="宋体" w:hAnsi="宋体" w:cs="Arial"/>
          <w:bCs/>
          <w:szCs w:val="21"/>
        </w:rPr>
      </w:pPr>
      <w:r>
        <w:rPr>
          <w:rFonts w:hint="eastAsia" w:ascii="宋体" w:hAnsi="宋体" w:cs="Arial"/>
          <w:bCs/>
          <w:szCs w:val="21"/>
        </w:rPr>
        <w:t>2、“偏离情况”栏中应如实填写“正偏离”、“负偏离”或“无偏离”。</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4" w:firstLineChars="202"/>
        <w:rPr>
          <w:rFonts w:asciiTheme="minorEastAsia" w:hAnsiTheme="minorEastAsia" w:eastAsiaTheme="minorEastAsia"/>
          <w:szCs w:val="21"/>
        </w:rPr>
      </w:pPr>
      <w:r>
        <w:rPr>
          <w:rFonts w:hint="eastAsia" w:ascii="宋体" w:hAnsi="宋体" w:cs="Arial"/>
          <w:bCs/>
          <w:szCs w:val="21"/>
        </w:rPr>
        <w:t>3、</w:t>
      </w:r>
      <w:r>
        <w:rPr>
          <w:rFonts w:hint="eastAsia" w:asciiTheme="minorEastAsia" w:hAnsiTheme="minorEastAsia" w:eastAsiaTheme="minorEastAsia"/>
          <w:b/>
          <w:szCs w:val="21"/>
        </w:rPr>
        <w:t>投标产品的技术参数应按</w:t>
      </w:r>
      <w:r>
        <w:rPr>
          <w:rFonts w:hint="eastAsia" w:ascii="宋体" w:hAnsi="宋体" w:cs="Arial"/>
          <w:b/>
          <w:bCs/>
          <w:szCs w:val="21"/>
        </w:rPr>
        <w:t>招标文件第二章《项目需求》中“二、</w:t>
      </w:r>
      <w:r>
        <w:rPr>
          <w:rFonts w:hint="eastAsia" w:ascii="宋体" w:hAnsi="宋体"/>
          <w:b/>
          <w:bCs/>
          <w:snapToGrid w:val="0"/>
          <w:szCs w:val="21"/>
        </w:rPr>
        <w:t>技术要求</w:t>
      </w:r>
      <w:r>
        <w:rPr>
          <w:rFonts w:hint="eastAsia" w:ascii="宋体" w:hAnsi="宋体" w:cs="Arial"/>
          <w:b/>
          <w:bCs/>
          <w:szCs w:val="21"/>
        </w:rPr>
        <w:t>”</w:t>
      </w:r>
      <w:r>
        <w:rPr>
          <w:rFonts w:hint="eastAsia" w:asciiTheme="minorEastAsia" w:hAnsiTheme="minorEastAsia" w:eastAsiaTheme="minorEastAsia"/>
          <w:b/>
          <w:szCs w:val="21"/>
        </w:rPr>
        <w:t>中的要求提供相应的证明资料，以证明投标人响应的真实性。</w:t>
      </w:r>
      <w:r>
        <w:rPr>
          <w:rFonts w:hint="eastAsia" w:asciiTheme="minorEastAsia" w:hAnsiTheme="minorEastAsia" w:eastAsiaTheme="minorEastAsia"/>
          <w:szCs w:val="21"/>
        </w:rPr>
        <w:t>证明资料包括制造商公布的产品说明书、产品彩页和我国政府机构出具的产品检验和核准证件等。投标人应在“说明”一栏中列出技术参数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4、证明资料（均为复印件或扫描件）的提供要求：</w:t>
      </w:r>
    </w:p>
    <w:p>
      <w:pPr>
        <w:spacing w:line="400" w:lineRule="exact"/>
        <w:ind w:firstLine="424" w:firstLineChars="202"/>
        <w:rPr>
          <w:rFonts w:asciiTheme="minorEastAsia" w:hAnsiTheme="minorEastAsia" w:eastAsiaTheme="minorEastAsia"/>
          <w:szCs w:val="21"/>
        </w:rPr>
      </w:pPr>
      <w:r>
        <w:rPr>
          <w:rFonts w:hint="eastAsia" w:asciiTheme="minorEastAsia" w:hAnsiTheme="minorEastAsia" w:eastAsiaTheme="minorEastAsia"/>
          <w:szCs w:val="21"/>
        </w:rPr>
        <w:t xml:space="preserve">（1）产品说明书或彩页应为制造商公布或出具的中文产品说明书或彩页；提供外文说明书或彩页的，需同时提供加盖制造商公章的对应中文翻译说明，评标依据以中文翻译内容为准，外文说明书或彩页仅供参考； </w:t>
      </w:r>
    </w:p>
    <w:p>
      <w:pPr>
        <w:spacing w:line="400" w:lineRule="exact"/>
        <w:ind w:firstLine="424" w:firstLineChars="202"/>
        <w:rPr>
          <w:rFonts w:ascii="宋体" w:hAnsi="宋体" w:cs="Arial"/>
          <w:b/>
          <w:bCs/>
          <w:szCs w:val="21"/>
        </w:rPr>
      </w:pPr>
      <w:r>
        <w:rPr>
          <w:rFonts w:hint="eastAsia" w:asciiTheme="minorEastAsia" w:hAnsiTheme="minorEastAsia" w:eastAsiaTheme="minorEastAsia"/>
          <w:szCs w:val="21"/>
        </w:rPr>
        <w:t>（2）我国政府机构出具的产品检验和核准证件应为证件正面、背面和附件标注的全部具体内容</w:t>
      </w:r>
      <w:r>
        <w:rPr>
          <w:rFonts w:hint="eastAsia" w:ascii="宋体" w:hAnsi="宋体" w:cs="Arial"/>
          <w:bCs/>
          <w:szCs w:val="21"/>
        </w:rPr>
        <w:t>。</w:t>
      </w:r>
    </w:p>
    <w:p>
      <w:pPr>
        <w:adjustRightInd w:val="0"/>
        <w:snapToGrid w:val="0"/>
        <w:spacing w:line="360" w:lineRule="auto"/>
        <w:rPr>
          <w:bCs/>
          <w:snapToGrid w:val="0"/>
        </w:rPr>
      </w:pPr>
    </w:p>
    <w:p>
      <w:pPr>
        <w:snapToGrid w:val="0"/>
        <w:spacing w:line="360" w:lineRule="auto"/>
        <w:jc w:val="center"/>
        <w:rPr>
          <w:b/>
        </w:rPr>
      </w:pPr>
      <w:r>
        <w:rPr>
          <w:rFonts w:hint="eastAsia"/>
          <w:b/>
        </w:rPr>
        <w:t>商务条款偏离表</w:t>
      </w:r>
    </w:p>
    <w:tbl>
      <w:tblPr>
        <w:tblStyle w:val="50"/>
        <w:tblW w:w="98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077"/>
        <w:gridCol w:w="2735"/>
        <w:gridCol w:w="1801"/>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spacing w:line="360" w:lineRule="auto"/>
              <w:jc w:val="center"/>
              <w:rPr>
                <w:rFonts w:ascii="宋体" w:hAnsi="宋体"/>
                <w:szCs w:val="21"/>
              </w:rPr>
            </w:pPr>
            <w:r>
              <w:rPr>
                <w:rFonts w:hint="eastAsia" w:ascii="宋体" w:hAnsi="宋体"/>
                <w:szCs w:val="21"/>
              </w:rPr>
              <w:t>序号</w:t>
            </w:r>
          </w:p>
        </w:tc>
        <w:tc>
          <w:tcPr>
            <w:tcW w:w="3077" w:type="dxa"/>
            <w:vAlign w:val="center"/>
          </w:tcPr>
          <w:p>
            <w:pPr>
              <w:spacing w:line="360" w:lineRule="auto"/>
              <w:jc w:val="center"/>
              <w:rPr>
                <w:rFonts w:ascii="宋体" w:hAnsi="宋体"/>
                <w:szCs w:val="21"/>
              </w:rPr>
            </w:pPr>
            <w:r>
              <w:rPr>
                <w:rFonts w:hint="eastAsia" w:ascii="宋体" w:hAnsi="宋体"/>
                <w:szCs w:val="21"/>
              </w:rPr>
              <w:t>招标商务需求</w:t>
            </w:r>
          </w:p>
        </w:tc>
        <w:tc>
          <w:tcPr>
            <w:tcW w:w="2735" w:type="dxa"/>
            <w:vAlign w:val="center"/>
          </w:tcPr>
          <w:p>
            <w:pPr>
              <w:spacing w:line="360" w:lineRule="auto"/>
              <w:jc w:val="center"/>
              <w:rPr>
                <w:rFonts w:ascii="宋体" w:hAnsi="宋体"/>
                <w:szCs w:val="21"/>
              </w:rPr>
            </w:pPr>
            <w:r>
              <w:rPr>
                <w:rFonts w:hint="eastAsia" w:ascii="宋体" w:hAnsi="宋体"/>
                <w:szCs w:val="21"/>
              </w:rPr>
              <w:t>投标商务响应</w:t>
            </w:r>
          </w:p>
        </w:tc>
        <w:tc>
          <w:tcPr>
            <w:tcW w:w="1801" w:type="dxa"/>
            <w:vAlign w:val="center"/>
          </w:tcPr>
          <w:p>
            <w:pPr>
              <w:spacing w:line="360" w:lineRule="auto"/>
              <w:jc w:val="center"/>
              <w:rPr>
                <w:rFonts w:ascii="宋体" w:hAnsi="宋体"/>
                <w:szCs w:val="21"/>
              </w:rPr>
            </w:pPr>
            <w:r>
              <w:rPr>
                <w:rFonts w:hint="eastAsia" w:ascii="宋体" w:hAnsi="宋体"/>
                <w:szCs w:val="21"/>
              </w:rPr>
              <w:t>偏离情况</w:t>
            </w:r>
          </w:p>
        </w:tc>
        <w:tc>
          <w:tcPr>
            <w:tcW w:w="1515" w:type="dxa"/>
            <w:vAlign w:val="center"/>
          </w:tcPr>
          <w:p>
            <w:pPr>
              <w:spacing w:line="360" w:lineRule="auto"/>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rPr>
                <w:rFonts w:ascii="宋体" w:hAnsi="宋体" w:cs="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bCs/>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708" w:type="dxa"/>
            <w:vAlign w:val="center"/>
          </w:tcPr>
          <w:p>
            <w:pPr>
              <w:spacing w:line="360" w:lineRule="auto"/>
              <w:jc w:val="center"/>
              <w:rPr>
                <w:rFonts w:ascii="宋体" w:hAnsi="宋体" w:cs="宋体"/>
                <w:bCs/>
                <w:szCs w:val="21"/>
              </w:rPr>
            </w:pPr>
          </w:p>
        </w:tc>
        <w:tc>
          <w:tcPr>
            <w:tcW w:w="3077" w:type="dxa"/>
          </w:tcPr>
          <w:p>
            <w:pPr>
              <w:spacing w:line="360" w:lineRule="auto"/>
              <w:rPr>
                <w:rFonts w:ascii="宋体" w:hAnsi="宋体" w:cs="宋体"/>
                <w:b/>
                <w:szCs w:val="21"/>
              </w:rPr>
            </w:pPr>
          </w:p>
        </w:tc>
        <w:tc>
          <w:tcPr>
            <w:tcW w:w="2735" w:type="dxa"/>
          </w:tcPr>
          <w:p>
            <w:pPr>
              <w:spacing w:line="360" w:lineRule="auto"/>
              <w:rPr>
                <w:rFonts w:ascii="宋体" w:hAnsi="宋体" w:cs="宋体"/>
                <w:szCs w:val="21"/>
              </w:rPr>
            </w:pPr>
          </w:p>
        </w:tc>
        <w:tc>
          <w:tcPr>
            <w:tcW w:w="1801" w:type="dxa"/>
          </w:tcPr>
          <w:p>
            <w:pPr>
              <w:spacing w:line="360" w:lineRule="auto"/>
              <w:rPr>
                <w:rFonts w:ascii="宋体" w:hAnsi="宋体" w:cs="宋体"/>
                <w:szCs w:val="21"/>
              </w:rPr>
            </w:pPr>
          </w:p>
        </w:tc>
        <w:tc>
          <w:tcPr>
            <w:tcW w:w="1515" w:type="dxa"/>
          </w:tcPr>
          <w:p>
            <w:pPr>
              <w:spacing w:line="360" w:lineRule="auto"/>
              <w:rPr>
                <w:rFonts w:ascii="宋体" w:hAnsi="宋体" w:cs="宋体"/>
                <w:szCs w:val="21"/>
              </w:rPr>
            </w:pPr>
          </w:p>
        </w:tc>
      </w:tr>
    </w:tbl>
    <w:p>
      <w:pPr>
        <w:spacing w:line="400" w:lineRule="exact"/>
        <w:rPr>
          <w:rFonts w:ascii="宋体" w:hAnsi="宋体" w:cs="Arial"/>
          <w:bCs/>
          <w:szCs w:val="21"/>
        </w:rPr>
      </w:pPr>
      <w:r>
        <w:rPr>
          <w:rFonts w:hint="eastAsia" w:ascii="宋体" w:hAnsi="宋体" w:cs="Arial"/>
          <w:bCs/>
          <w:szCs w:val="21"/>
        </w:rPr>
        <w:t>备注：1、“</w:t>
      </w:r>
      <w:r>
        <w:rPr>
          <w:rFonts w:hint="eastAsia" w:ascii="宋体" w:hAnsi="宋体"/>
          <w:szCs w:val="21"/>
        </w:rPr>
        <w:t>招标商务需求</w:t>
      </w:r>
      <w:r>
        <w:rPr>
          <w:rFonts w:hint="eastAsia" w:ascii="宋体" w:hAnsi="宋体" w:cs="Arial"/>
          <w:bCs/>
          <w:szCs w:val="21"/>
        </w:rPr>
        <w:t>”一栏逐一列出招标文件第二章《项目需求》中“</w:t>
      </w:r>
      <w:r>
        <w:rPr>
          <w:rFonts w:hint="eastAsia" w:ascii="宋体" w:hAnsi="宋体" w:cs="Arial"/>
          <w:b/>
          <w:bCs/>
          <w:szCs w:val="21"/>
        </w:rPr>
        <w:t>三、商务要求</w:t>
      </w:r>
      <w:r>
        <w:rPr>
          <w:rFonts w:hint="eastAsia" w:ascii="宋体" w:hAnsi="宋体" w:cs="Arial"/>
          <w:bCs/>
          <w:szCs w:val="21"/>
        </w:rPr>
        <w:t>”的内容；“</w:t>
      </w:r>
      <w:r>
        <w:rPr>
          <w:rFonts w:hint="eastAsia" w:ascii="宋体" w:hAnsi="宋体"/>
          <w:szCs w:val="21"/>
        </w:rPr>
        <w:t>投标商务响应</w:t>
      </w:r>
      <w:r>
        <w:rPr>
          <w:rFonts w:hint="eastAsia" w:ascii="宋体" w:hAnsi="宋体" w:cs="Arial"/>
          <w:bCs/>
          <w:szCs w:val="21"/>
        </w:rPr>
        <w:t>”一栏应详细填写投标商务条款的响应内容。</w:t>
      </w:r>
    </w:p>
    <w:p>
      <w:pPr>
        <w:spacing w:line="400" w:lineRule="exact"/>
        <w:ind w:firstLine="420" w:firstLineChars="200"/>
      </w:pPr>
      <w:r>
        <w:rPr>
          <w:rFonts w:hint="eastAsia" w:ascii="宋体" w:hAnsi="宋体" w:cs="Arial"/>
          <w:bCs/>
          <w:szCs w:val="21"/>
        </w:rPr>
        <w:t>2、“偏离情况”栏中应如实填写“正偏离”、“负偏离”或“无偏离”</w:t>
      </w:r>
      <w:r>
        <w:rPr>
          <w:rFonts w:hint="eastAsia"/>
        </w:rPr>
        <w:t>。</w:t>
      </w:r>
      <w:r>
        <w:rPr>
          <w:rFonts w:hint="eastAsia" w:ascii="宋体" w:hAnsi="宋体"/>
          <w:kern w:val="0"/>
          <w:szCs w:val="21"/>
        </w:rPr>
        <w:t>★</w:t>
      </w:r>
      <w:r>
        <w:rPr>
          <w:rFonts w:hint="eastAsia" w:asciiTheme="minorEastAsia" w:hAnsiTheme="minorEastAsia" w:eastAsiaTheme="minorEastAsia"/>
          <w:szCs w:val="21"/>
        </w:rPr>
        <w:t>条款为不可负偏离条款，投标文件响应为“负偏离”或未响应的，投标文件将按无效投标处理。</w:t>
      </w:r>
    </w:p>
    <w:p>
      <w:pPr>
        <w:spacing w:line="400" w:lineRule="exact"/>
        <w:ind w:firstLine="420" w:firstLineChars="200"/>
      </w:pPr>
      <w:r>
        <w:rPr>
          <w:rFonts w:hint="eastAsia" w:asciiTheme="minorEastAsia" w:hAnsiTheme="minorEastAsia" w:eastAsiaTheme="minorEastAsia"/>
          <w:szCs w:val="21"/>
        </w:rPr>
        <w:t>3、投标人应在“说明”一栏中列出商务条款的证明资料名称，并注明该证明资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spacing w:line="400" w:lineRule="exact"/>
        <w:ind w:firstLine="420" w:firstLineChars="200"/>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rPr>
          <w:snapToGrid w:val="0"/>
          <w:kern w:val="0"/>
        </w:rPr>
      </w:pPr>
    </w:p>
    <w:p>
      <w:pPr>
        <w:adjustRightInd w:val="0"/>
        <w:snapToGrid w:val="0"/>
        <w:spacing w:line="300" w:lineRule="auto"/>
        <w:ind w:right="420"/>
        <w:jc w:val="center"/>
      </w:pPr>
      <w:r>
        <w:rPr>
          <w:rFonts w:hint="eastAsia"/>
          <w:snapToGrid w:val="0"/>
          <w:kern w:val="0"/>
        </w:rPr>
        <w:t xml:space="preserve">                                                            年    月    日</w:t>
      </w:r>
      <w:r>
        <w:br w:type="page"/>
      </w:r>
    </w:p>
    <w:p>
      <w:pPr>
        <w:adjustRightInd w:val="0"/>
        <w:snapToGrid w:val="0"/>
        <w:spacing w:line="300" w:lineRule="auto"/>
        <w:ind w:right="420"/>
        <w:jc w:val="cente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格式12  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tabs>
          <w:tab w:val="left" w:pos="1875"/>
        </w:tabs>
      </w:pPr>
    </w:p>
    <w:p>
      <w:pPr>
        <w:pStyle w:val="3"/>
        <w:spacing w:before="0" w:after="0"/>
      </w:pPr>
      <w:bookmarkStart w:id="85" w:name="_Toc110410308"/>
      <w:r>
        <w:rPr>
          <w:rFonts w:hint="eastAsia"/>
        </w:rPr>
        <w:t>第八章  合同条款</w:t>
      </w:r>
      <w:bookmarkEnd w:id="85"/>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adjustRightInd w:val="0"/>
        <w:snapToGrid w:val="0"/>
        <w:spacing w:line="360" w:lineRule="auto"/>
        <w:jc w:val="center"/>
        <w:rPr>
          <w:b/>
          <w:snapToGrid w:val="0"/>
          <w:kern w:val="0"/>
          <w:sz w:val="28"/>
        </w:rPr>
      </w:pPr>
    </w:p>
    <w:p>
      <w:pPr>
        <w:spacing w:line="360" w:lineRule="auto"/>
        <w:rPr>
          <w:rFonts w:asciiTheme="minorEastAsia" w:hAnsiTheme="minorEastAsia"/>
          <w:b/>
          <w:bCs/>
          <w:szCs w:val="21"/>
        </w:rPr>
      </w:pPr>
      <w:r>
        <w:rPr>
          <w:rFonts w:hint="eastAsia" w:asciiTheme="minorEastAsia" w:hAnsiTheme="minorEastAsia"/>
          <w:b/>
          <w:bCs/>
          <w:szCs w:val="21"/>
        </w:rPr>
        <w:t>甲方（采购人）：</w:t>
      </w:r>
    </w:p>
    <w:p>
      <w:pPr>
        <w:spacing w:line="360" w:lineRule="auto"/>
        <w:rPr>
          <w:rFonts w:asciiTheme="minorEastAsia" w:hAnsiTheme="minorEastAsia"/>
          <w:szCs w:val="21"/>
        </w:rPr>
      </w:pPr>
      <w:r>
        <w:rPr>
          <w:rFonts w:hint="eastAsia" w:asciiTheme="minorEastAsia" w:hAnsiTheme="minorEastAsia"/>
          <w:b/>
          <w:bCs/>
          <w:szCs w:val="21"/>
        </w:rPr>
        <w:t>乙方（中标人）：</w:t>
      </w:r>
    </w:p>
    <w:p>
      <w:pPr>
        <w:snapToGrid w:val="0"/>
        <w:spacing w:line="360" w:lineRule="auto"/>
        <w:ind w:firstLine="420" w:firstLineChars="200"/>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根据《中华人民共和国政府采购法》、《深圳经济特区政府采购条例》、《中华人民共和国民法典》之规定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第一条</w:t>
      </w:r>
      <w:r>
        <w:rPr>
          <w:rFonts w:asciiTheme="minorEastAsia" w:hAnsiTheme="minorEastAsia"/>
          <w:b/>
          <w:szCs w:val="21"/>
        </w:rPr>
        <w:t xml:space="preserve">  </w:t>
      </w:r>
      <w:r>
        <w:rPr>
          <w:rFonts w:hint="eastAsia" w:asciiTheme="minorEastAsia" w:hAnsiTheme="minorEastAsia"/>
          <w:b/>
          <w:szCs w:val="21"/>
        </w:rPr>
        <w:t>合同标的</w:t>
      </w:r>
    </w:p>
    <w:p>
      <w:pPr>
        <w:spacing w:line="360" w:lineRule="auto"/>
        <w:ind w:firstLine="420" w:firstLineChars="200"/>
        <w:rPr>
          <w:rFonts w:asciiTheme="minorEastAsia" w:hAnsiTheme="minorEastAsia"/>
          <w:szCs w:val="21"/>
        </w:rPr>
      </w:pPr>
      <w:r>
        <w:rPr>
          <w:rFonts w:hint="eastAsia" w:asciiTheme="minorEastAsia" w:hAnsiTheme="minorEastAsia"/>
          <w:szCs w:val="21"/>
        </w:rPr>
        <w:t>货物名称、规格型号、制造商、产地、单位、数量、单价、合同价，详见</w:t>
      </w:r>
      <w:r>
        <w:rPr>
          <w:rFonts w:asciiTheme="minorEastAsia" w:hAnsiTheme="minorEastAsia"/>
          <w:b/>
          <w:szCs w:val="21"/>
          <w:u w:val="single"/>
        </w:rPr>
        <w:t xml:space="preserve">                  </w:t>
      </w:r>
      <w:r>
        <w:rPr>
          <w:rFonts w:hint="eastAsia" w:asciiTheme="minorEastAsia" w:hAnsiTheme="minorEastAsia"/>
          <w:szCs w:val="21"/>
        </w:rPr>
        <w:t>。</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第二条</w:t>
      </w:r>
      <w:r>
        <w:rPr>
          <w:rFonts w:asciiTheme="minorEastAsia" w:hAnsiTheme="minorEastAsia"/>
          <w:b/>
          <w:szCs w:val="21"/>
        </w:rPr>
        <w:t xml:space="preserve">  </w:t>
      </w:r>
      <w:r>
        <w:rPr>
          <w:rFonts w:hint="eastAsia" w:asciiTheme="minorEastAsia" w:hAnsiTheme="minorEastAsia"/>
          <w:b/>
          <w:szCs w:val="21"/>
        </w:rPr>
        <w:t>合同价款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本合同项下总价款为</w:t>
      </w:r>
      <w:r>
        <w:rPr>
          <w:rFonts w:asciiTheme="minorEastAsia" w:hAnsiTheme="minorEastAsia"/>
          <w:szCs w:val="21"/>
          <w:u w:val="single"/>
        </w:rPr>
        <w:t xml:space="preserve">              </w:t>
      </w:r>
      <w:r>
        <w:rPr>
          <w:rFonts w:hint="eastAsia" w:asciiTheme="minorEastAsia" w:hAnsiTheme="minorEastAsia"/>
          <w:szCs w:val="21"/>
        </w:rPr>
        <w:t>（大写）人民币，分项价款详见</w:t>
      </w:r>
      <w:r>
        <w:rPr>
          <w:rFonts w:asciiTheme="minorEastAsia" w:hAnsiTheme="minorEastAsia"/>
          <w:b/>
          <w:szCs w:val="21"/>
          <w:u w:val="single"/>
        </w:rPr>
        <w:t xml:space="preserve">          </w:t>
      </w:r>
      <w:r>
        <w:rPr>
          <w:rFonts w:hint="eastAsia" w:asciiTheme="minorEastAsia" w:hAnsiTheme="minorEastAsia"/>
          <w:szCs w:val="21"/>
        </w:rPr>
        <w:t>。本合同总价款已包括乙方为履行本合同义务所发生的一切费用，系固定不变价格，且不随通货膨胀的影响而波动。</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第三条</w:t>
      </w:r>
      <w:r>
        <w:rPr>
          <w:rFonts w:asciiTheme="minorEastAsia" w:hAnsiTheme="minorEastAsia"/>
          <w:b/>
          <w:szCs w:val="21"/>
        </w:rPr>
        <w:t xml:space="preserve">  </w:t>
      </w:r>
      <w:r>
        <w:rPr>
          <w:rFonts w:hint="eastAsia" w:asciiTheme="minorEastAsia" w:hAnsiTheme="minorEastAsia"/>
          <w:b/>
          <w:szCs w:val="21"/>
        </w:rPr>
        <w:t>交货时间、地点和交货状态</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3.1交货时间：</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3.2交货地点：</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3.3交货状态：</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第四条</w:t>
      </w:r>
      <w:r>
        <w:rPr>
          <w:rFonts w:asciiTheme="minorEastAsia" w:hAnsiTheme="minorEastAsia"/>
          <w:b/>
          <w:szCs w:val="21"/>
        </w:rPr>
        <w:t xml:space="preserve">  </w:t>
      </w:r>
      <w:r>
        <w:rPr>
          <w:rFonts w:hint="eastAsia" w:asciiTheme="minorEastAsia" w:hAnsiTheme="minorEastAsia"/>
          <w:b/>
          <w:szCs w:val="21"/>
        </w:rPr>
        <w:t>质量标准和要求</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4.1乙方所提供的货物质量标准按照国家标准或者行业标准或者企业标准明确。没有国家标准、行业标准或企业标准的，按照通常标准或者符合合同目的的特定标准确定。</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4.2乙方应保证货物是全新、未使用过的原装合格正品（包括零部件），并完全符合甲方要求的质量、规格和性能的要求。如货物安装或配置了软件的，乙方保证相关软件均为正版软件。</w:t>
      </w:r>
    </w:p>
    <w:p>
      <w:pPr>
        <w:spacing w:line="360" w:lineRule="auto"/>
        <w:ind w:firstLine="420" w:firstLineChars="200"/>
        <w:jc w:val="left"/>
        <w:rPr>
          <w:rFonts w:asciiTheme="minorEastAsia" w:hAnsiTheme="minorEastAsia"/>
          <w:szCs w:val="21"/>
        </w:rPr>
      </w:pPr>
      <w:r>
        <w:rPr>
          <w:rFonts w:asciiTheme="minorEastAsia" w:hAnsiTheme="minorEastAsia"/>
          <w:szCs w:val="21"/>
        </w:rPr>
        <w:t>4.3乙方保证交货时一并提供货物的质量合格凭证或文件。</w:t>
      </w:r>
    </w:p>
    <w:p>
      <w:pPr>
        <w:spacing w:line="360" w:lineRule="auto"/>
        <w:ind w:firstLine="420" w:firstLineChars="200"/>
        <w:jc w:val="left"/>
        <w:rPr>
          <w:rFonts w:asciiTheme="minorEastAsia" w:hAnsiTheme="minorEastAsia"/>
          <w:szCs w:val="21"/>
        </w:rPr>
      </w:pPr>
      <w:r>
        <w:rPr>
          <w:rFonts w:asciiTheme="minorEastAsia" w:hAnsiTheme="minorEastAsia"/>
          <w:szCs w:val="21"/>
        </w:rPr>
        <w:t>4.4乙方所提供的全部货物均应按照标准保护措施进行包装，包装应适用于远距离运输、防潮、防震、防锈、防野蛮装卸等要求，以确保货物安全无损抵运指定交货地点。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第五条</w:t>
      </w:r>
      <w:r>
        <w:rPr>
          <w:rFonts w:asciiTheme="minorEastAsia" w:hAnsiTheme="minorEastAsia"/>
          <w:b/>
          <w:szCs w:val="21"/>
        </w:rPr>
        <w:t xml:space="preserve">  </w:t>
      </w:r>
      <w:r>
        <w:rPr>
          <w:rFonts w:hint="eastAsia" w:asciiTheme="minorEastAsia" w:hAnsiTheme="minorEastAsia"/>
          <w:b/>
          <w:szCs w:val="21"/>
        </w:rPr>
        <w:t>权利保证</w:t>
      </w:r>
    </w:p>
    <w:p>
      <w:pPr>
        <w:spacing w:line="360" w:lineRule="auto"/>
        <w:ind w:firstLine="420" w:firstLineChars="200"/>
        <w:jc w:val="left"/>
        <w:rPr>
          <w:rFonts w:asciiTheme="minorEastAsia" w:hAnsiTheme="minorEastAsia"/>
          <w:szCs w:val="21"/>
        </w:rPr>
      </w:pPr>
      <w:r>
        <w:rPr>
          <w:rFonts w:asciiTheme="minorEastAsia" w:hAnsiTheme="minorEastAsia"/>
          <w:szCs w:val="21"/>
        </w:rPr>
        <w:t>5.1乙方保证甲方在使用本合同项下货物或货物的任何一部分时，不会产生因第三方提出的包括但不限于侵犯其专利权、商标权、工业设计权等知识产权和侵犯其所有权、抵押权等物权及其他权利而引发的纠纷。如有纠纷，乙方应承担全部责任。</w:t>
      </w:r>
    </w:p>
    <w:p>
      <w:pPr>
        <w:spacing w:line="360" w:lineRule="auto"/>
        <w:ind w:firstLine="420" w:firstLineChars="200"/>
        <w:jc w:val="left"/>
        <w:rPr>
          <w:rFonts w:asciiTheme="minorEastAsia" w:hAnsiTheme="minorEastAsia"/>
          <w:szCs w:val="21"/>
        </w:rPr>
      </w:pPr>
      <w:r>
        <w:rPr>
          <w:rFonts w:asciiTheme="minorEastAsia" w:hAnsiTheme="minorEastAsia"/>
          <w:szCs w:val="21"/>
        </w:rPr>
        <w:t>5.2乙方应保证其提供的货物不存在任何未曾向甲方透漏的担保物权，如抵押权、质押权、留置权等。</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第六条</w:t>
      </w:r>
      <w:r>
        <w:rPr>
          <w:rFonts w:asciiTheme="minorEastAsia" w:hAnsiTheme="minorEastAsia"/>
          <w:b/>
          <w:szCs w:val="21"/>
        </w:rPr>
        <w:t xml:space="preserve">  </w:t>
      </w:r>
      <w:r>
        <w:rPr>
          <w:rFonts w:hint="eastAsia" w:asciiTheme="minorEastAsia" w:hAnsiTheme="minorEastAsia"/>
          <w:b/>
          <w:szCs w:val="21"/>
        </w:rPr>
        <w:t>质量保障</w:t>
      </w:r>
    </w:p>
    <w:p>
      <w:pPr>
        <w:spacing w:line="360" w:lineRule="auto"/>
        <w:ind w:firstLine="420" w:firstLineChars="200"/>
        <w:jc w:val="left"/>
        <w:rPr>
          <w:rFonts w:asciiTheme="minorEastAsia" w:hAnsiTheme="minorEastAsia"/>
          <w:szCs w:val="21"/>
        </w:rPr>
      </w:pPr>
      <w:r>
        <w:rPr>
          <w:rFonts w:asciiTheme="minorEastAsia" w:hAnsiTheme="minorEastAsia"/>
          <w:szCs w:val="21"/>
        </w:rPr>
        <w:t>6.1乙方应保证其提供的货物是全新的，未使用过的，并且完全符合合同规定的质量、规格和性能要求。乙方应保证其提供的货物在正确安装、正常使用和保养条件下，在其使用寿命期限内应具有很满意的性能。在货物最终交付验收后的质量保证期限内，乙方应对由于设计、工艺或材料的缺陷而产生的故障承担责任。</w:t>
      </w:r>
    </w:p>
    <w:p>
      <w:pPr>
        <w:spacing w:line="360" w:lineRule="auto"/>
        <w:ind w:firstLine="420" w:firstLineChars="200"/>
        <w:jc w:val="left"/>
        <w:rPr>
          <w:rFonts w:asciiTheme="minorEastAsia" w:hAnsiTheme="minorEastAsia"/>
          <w:szCs w:val="21"/>
        </w:rPr>
      </w:pPr>
      <w:r>
        <w:rPr>
          <w:rFonts w:asciiTheme="minorEastAsia" w:hAnsiTheme="minorEastAsia"/>
          <w:szCs w:val="21"/>
        </w:rPr>
        <w:t>6.2在质量保证期限内，如果货物的质量或规格与合同不符，或者证实货物存在缺陷的，包括潜在的缺陷或者使用不符合要求的材料等，甲方可根据本合同追究乙方相应违约责任。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第七条</w:t>
      </w:r>
      <w:r>
        <w:rPr>
          <w:rFonts w:asciiTheme="minorEastAsia" w:hAnsiTheme="minorEastAsia"/>
          <w:b/>
          <w:szCs w:val="21"/>
        </w:rPr>
        <w:t xml:space="preserve">  </w:t>
      </w:r>
      <w:r>
        <w:rPr>
          <w:rFonts w:hint="eastAsia" w:asciiTheme="minorEastAsia" w:hAnsiTheme="minorEastAsia"/>
          <w:b/>
          <w:szCs w:val="21"/>
        </w:rPr>
        <w:t>交货和验收</w:t>
      </w:r>
    </w:p>
    <w:p>
      <w:pPr>
        <w:spacing w:line="360" w:lineRule="auto"/>
        <w:ind w:firstLine="420" w:firstLineChars="200"/>
        <w:jc w:val="left"/>
        <w:rPr>
          <w:rFonts w:asciiTheme="minorEastAsia" w:hAnsiTheme="minorEastAsia"/>
          <w:szCs w:val="21"/>
        </w:rPr>
      </w:pPr>
      <w:r>
        <w:rPr>
          <w:rFonts w:asciiTheme="minorEastAsia" w:hAnsiTheme="minorEastAsia"/>
          <w:szCs w:val="21"/>
        </w:rPr>
        <w:t>7.1乙方应按照本合同或招投标文件规定的时间和方式向甲方交付货物，交货地点由甲方指定。因交货产生的费用由乙方自行承担。</w:t>
      </w:r>
    </w:p>
    <w:p>
      <w:pPr>
        <w:spacing w:line="360" w:lineRule="auto"/>
        <w:ind w:firstLine="420" w:firstLineChars="200"/>
        <w:jc w:val="left"/>
        <w:rPr>
          <w:rFonts w:asciiTheme="minorEastAsia" w:hAnsiTheme="minorEastAsia"/>
          <w:szCs w:val="21"/>
        </w:rPr>
      </w:pPr>
      <w:r>
        <w:rPr>
          <w:rFonts w:asciiTheme="minorEastAsia" w:hAnsiTheme="minorEastAsia"/>
          <w:szCs w:val="21"/>
        </w:rPr>
        <w:t>7.2乙方交付的货物应当完全符合招投标文件所规定的货物、数量、质量和规格要求。乙方提供的货物不符合招投标文件和合同规定的，甲方有权拒收货物，由此引起的风险，由乙方承担。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7.3乙方应将所提供货物的使用说明书、原厂保修卡等附随资料和附随配件、工具等交付给甲方；乙方不能完整交付货物及本款规定的单证和工具的，视为未按合同约定交货，乙方负责补齐，因此导致逾期交付的，由乙方承担相关的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7.4甲方应当在到货后的</w:t>
      </w:r>
      <w:r>
        <w:rPr>
          <w:rFonts w:asciiTheme="minorEastAsia" w:hAnsiTheme="minorEastAsia"/>
          <w:szCs w:val="21"/>
          <w:u w:val="single"/>
        </w:rPr>
        <w:t xml:space="preserve">       </w:t>
      </w:r>
      <w:r>
        <w:rPr>
          <w:rFonts w:hint="eastAsia" w:asciiTheme="minorEastAsia" w:hAnsiTheme="minorEastAsia"/>
          <w:szCs w:val="21"/>
        </w:rPr>
        <w:t>个工作日内对货物进行验收；需要乙方对货物或系统进行安装调试的，甲方应在货物安装调试完毕后的</w:t>
      </w:r>
      <w:r>
        <w:rPr>
          <w:rFonts w:asciiTheme="minorEastAsia" w:hAnsiTheme="minorEastAsia"/>
          <w:szCs w:val="21"/>
          <w:u w:val="single"/>
        </w:rPr>
        <w:t xml:space="preserve">       </w:t>
      </w:r>
      <w:r>
        <w:rPr>
          <w:rFonts w:hint="eastAsia" w:asciiTheme="minorEastAsia" w:hAnsiTheme="minorEastAsia"/>
          <w:szCs w:val="21"/>
        </w:rPr>
        <w:t>个工作日内进行质量验收。</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第八条</w:t>
      </w:r>
      <w:r>
        <w:rPr>
          <w:rFonts w:asciiTheme="minorEastAsia" w:hAnsiTheme="minorEastAsia"/>
          <w:b/>
          <w:szCs w:val="21"/>
        </w:rPr>
        <w:t xml:space="preserve">  </w:t>
      </w:r>
      <w:r>
        <w:rPr>
          <w:rFonts w:hint="eastAsia" w:asciiTheme="minorEastAsia" w:hAnsiTheme="minorEastAsia"/>
          <w:b/>
          <w:szCs w:val="21"/>
        </w:rPr>
        <w:t>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8.1乙方应按照国家有关法律法规规章和“三包”规定和招标文件的要求及乙方在投标文件的相关承诺提供保修及其他服务。</w:t>
      </w:r>
    </w:p>
    <w:p>
      <w:pPr>
        <w:spacing w:line="360" w:lineRule="auto"/>
        <w:ind w:firstLine="420" w:firstLineChars="200"/>
        <w:jc w:val="left"/>
        <w:rPr>
          <w:rFonts w:asciiTheme="minorEastAsia" w:hAnsiTheme="minorEastAsia"/>
          <w:szCs w:val="21"/>
        </w:rPr>
      </w:pPr>
      <w:r>
        <w:rPr>
          <w:rFonts w:asciiTheme="minorEastAsia" w:hAnsiTheme="minorEastAsia"/>
          <w:szCs w:val="21"/>
        </w:rPr>
        <w:t>8.2保修期内，乙方负责对其提供的货物进行维修和系统维护，不再收取任何费用。</w:t>
      </w:r>
      <w:r>
        <w:rPr>
          <w:rFonts w:hint="eastAsia" w:asciiTheme="minorEastAsia" w:hAnsiTheme="minorEastAsia"/>
          <w:szCs w:val="21"/>
        </w:rPr>
        <w:t>所有货物保修服务方式均为乙方上门保修，即由乙方派员到货物使用现场维修，由此产生的一切费用均由乙方承担。保修期后的货物维护另行协商。</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第九条</w:t>
      </w:r>
      <w:r>
        <w:rPr>
          <w:rFonts w:asciiTheme="minorEastAsia" w:hAnsiTheme="minorEastAsia"/>
          <w:b/>
          <w:szCs w:val="21"/>
        </w:rPr>
        <w:t xml:space="preserve">  </w:t>
      </w:r>
      <w:r>
        <w:rPr>
          <w:rFonts w:hint="eastAsia" w:asciiTheme="minorEastAsia" w:hAnsiTheme="minorEastAsia"/>
          <w:b/>
          <w:szCs w:val="21"/>
        </w:rPr>
        <w:t>履约保证金</w:t>
      </w:r>
    </w:p>
    <w:p>
      <w:pPr>
        <w:spacing w:line="360" w:lineRule="auto"/>
        <w:ind w:firstLine="420" w:firstLineChars="200"/>
        <w:jc w:val="left"/>
        <w:rPr>
          <w:rFonts w:asciiTheme="minorEastAsia" w:hAnsiTheme="minorEastAsia"/>
          <w:szCs w:val="21"/>
        </w:rPr>
      </w:pPr>
      <w:r>
        <w:rPr>
          <w:rFonts w:asciiTheme="minorEastAsia" w:hAnsiTheme="minorEastAsia"/>
          <w:szCs w:val="21"/>
        </w:rPr>
        <w:t>9.1乙方应在签订本合同之日，向甲方或甲方指定的机构提交履约保证金_________元。</w:t>
      </w:r>
    </w:p>
    <w:p>
      <w:pPr>
        <w:spacing w:line="360" w:lineRule="auto"/>
        <w:ind w:firstLine="420" w:firstLineChars="200"/>
        <w:jc w:val="left"/>
        <w:rPr>
          <w:rFonts w:asciiTheme="minorEastAsia" w:hAnsiTheme="minorEastAsia"/>
          <w:szCs w:val="21"/>
        </w:rPr>
      </w:pPr>
      <w:r>
        <w:rPr>
          <w:rFonts w:asciiTheme="minorEastAsia" w:hAnsiTheme="minorEastAsia"/>
          <w:szCs w:val="21"/>
        </w:rPr>
        <w:t>9.2如乙方未能履行合同规定的义务，甲方有权从履约保证金中取得补偿。</w:t>
      </w:r>
    </w:p>
    <w:p>
      <w:pPr>
        <w:spacing w:line="360" w:lineRule="auto"/>
        <w:ind w:firstLine="420" w:firstLineChars="200"/>
        <w:jc w:val="left"/>
        <w:rPr>
          <w:rFonts w:asciiTheme="minorEastAsia" w:hAnsiTheme="minorEastAsia"/>
          <w:szCs w:val="21"/>
        </w:rPr>
      </w:pPr>
      <w:r>
        <w:rPr>
          <w:rFonts w:asciiTheme="minorEastAsia" w:hAnsiTheme="minorEastAsia"/>
          <w:szCs w:val="21"/>
        </w:rPr>
        <w:t>9.3甲方在乙方履行完毕本合同项下全部义务后______天内无息退还乙方。</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第十条</w:t>
      </w:r>
      <w:r>
        <w:rPr>
          <w:rFonts w:asciiTheme="minorEastAsia" w:hAnsiTheme="minorEastAsia"/>
          <w:b/>
          <w:szCs w:val="21"/>
        </w:rPr>
        <w:t xml:space="preserve">  </w:t>
      </w:r>
      <w:r>
        <w:rPr>
          <w:rFonts w:hint="eastAsia" w:asciiTheme="minorEastAsia" w:hAnsiTheme="minorEastAsia"/>
          <w:b/>
          <w:szCs w:val="21"/>
        </w:rPr>
        <w:t>货款支付</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10.1本合同以人民币付款。</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10.2付款条件：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10.3付款方式和时间：</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第十一条</w:t>
      </w:r>
      <w:r>
        <w:rPr>
          <w:rFonts w:asciiTheme="minorEastAsia" w:hAnsiTheme="minorEastAsia"/>
          <w:b/>
          <w:szCs w:val="21"/>
        </w:rPr>
        <w:t xml:space="preserve">  </w:t>
      </w:r>
      <w:r>
        <w:rPr>
          <w:rFonts w:hint="eastAsia" w:asciiTheme="minorEastAsia" w:hAnsiTheme="minorEastAsia"/>
          <w:b/>
          <w:szCs w:val="21"/>
        </w:rPr>
        <w:t>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11.1甲方无正当理由拒收货物、拒付货物款的，由甲方向乙方偿付合同总价的【】%违约金。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11.2甲方未按合同规定的期限向乙方支付货款的，每逾期1天甲方向乙方偿付欠款总额的【】‰滞纳金，但累计滞纳金总额不超过欠款总额的【】%。</w:t>
      </w:r>
    </w:p>
    <w:p>
      <w:pPr>
        <w:spacing w:line="360" w:lineRule="auto"/>
        <w:ind w:firstLine="420" w:firstLineChars="200"/>
        <w:jc w:val="left"/>
        <w:rPr>
          <w:rFonts w:asciiTheme="minorEastAsia" w:hAnsiTheme="minorEastAsia"/>
          <w:szCs w:val="21"/>
        </w:rPr>
      </w:pPr>
      <w:r>
        <w:rPr>
          <w:rFonts w:asciiTheme="minorEastAsia" w:hAnsiTheme="minorEastAsia"/>
          <w:szCs w:val="21"/>
        </w:rPr>
        <w:t>11.3乙方逾期交付货物的</w:t>
      </w:r>
      <w:r>
        <w:rPr>
          <w:rFonts w:hint="eastAsia" w:asciiTheme="minorEastAsia" w:hAnsiTheme="minorEastAsia"/>
          <w:szCs w:val="21"/>
        </w:rPr>
        <w:t>，</w:t>
      </w:r>
      <w:r>
        <w:rPr>
          <w:rFonts w:asciiTheme="minorEastAsia" w:hAnsiTheme="minorEastAsia"/>
          <w:szCs w:val="21"/>
        </w:rPr>
        <w:t>每逾期1天，乙方向甲方偿付逾期交货部分货款总额的</w:t>
      </w:r>
      <w:r>
        <w:rPr>
          <w:rFonts w:hint="eastAsia" w:asciiTheme="minorEastAsia" w:hAnsiTheme="minorEastAsia"/>
          <w:szCs w:val="21"/>
        </w:rPr>
        <w:t>【】</w:t>
      </w:r>
      <w:r>
        <w:rPr>
          <w:rFonts w:asciiTheme="minorEastAsia" w:hAnsiTheme="minorEastAsia"/>
          <w:szCs w:val="21"/>
        </w:rPr>
        <w:t>‰的滞纳金</w:t>
      </w:r>
      <w:r>
        <w:rPr>
          <w:rFonts w:hint="eastAsia" w:asciiTheme="minorEastAsia" w:hAnsiTheme="minorEastAsia"/>
          <w:szCs w:val="21"/>
        </w:rPr>
        <w:t>。如乙方逾期交货达</w:t>
      </w:r>
      <w:r>
        <w:rPr>
          <w:rFonts w:asciiTheme="minorEastAsia" w:hAnsiTheme="minorEastAsia"/>
          <w:szCs w:val="21"/>
          <w:u w:val="single"/>
        </w:rPr>
        <w:t xml:space="preserve">    </w:t>
      </w:r>
      <w:r>
        <w:rPr>
          <w:rFonts w:hint="eastAsia" w:asciiTheme="minorEastAsia" w:hAnsiTheme="minorEastAsia"/>
          <w:szCs w:val="21"/>
        </w:rPr>
        <w:t>天，甲方有权解除合同，履约保证金不予退回，同时乙方应向甲方支付合同总价【】％的违约金。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11.4乙方所交付的货物品种、型号、规格不符合合同规定的，甲方有权拒收。甲方拒收的，乙方应向甲方支付货款总额【】%的违约金。</w:t>
      </w:r>
    </w:p>
    <w:p>
      <w:pPr>
        <w:spacing w:line="360" w:lineRule="auto"/>
        <w:ind w:firstLine="420" w:firstLineChars="200"/>
        <w:jc w:val="left"/>
        <w:rPr>
          <w:rFonts w:asciiTheme="minorEastAsia" w:hAnsiTheme="minorEastAsia"/>
          <w:szCs w:val="21"/>
        </w:rPr>
      </w:pPr>
      <w:r>
        <w:rPr>
          <w:rFonts w:asciiTheme="minorEastAsia" w:hAnsiTheme="minorEastAsia"/>
          <w:szCs w:val="21"/>
        </w:rPr>
        <w:t>11.5在乙方承诺的或国家规定的质量保证期内（取两者中最长的期限），如经乙方两次维修</w:t>
      </w:r>
      <w:r>
        <w:rPr>
          <w:rFonts w:hint="eastAsia" w:asciiTheme="minorEastAsia" w:hAnsiTheme="minorEastAsia"/>
          <w:szCs w:val="21"/>
        </w:rPr>
        <w:t>或更换</w:t>
      </w:r>
      <w:r>
        <w:rPr>
          <w:rFonts w:asciiTheme="minorEastAsia" w:hAnsiTheme="minorEastAsia"/>
          <w:szCs w:val="21"/>
        </w:rPr>
        <w:t>，货物仍不能达到合同约定</w:t>
      </w:r>
      <w:r>
        <w:rPr>
          <w:rFonts w:hint="eastAsia" w:asciiTheme="minorEastAsia" w:hAnsiTheme="minorEastAsia"/>
          <w:szCs w:val="21"/>
        </w:rPr>
        <w:t>的</w:t>
      </w:r>
      <w:r>
        <w:rPr>
          <w:rFonts w:asciiTheme="minorEastAsia" w:hAnsiTheme="minorEastAsia"/>
          <w:szCs w:val="21"/>
        </w:rPr>
        <w:t>质量标准，甲方有权退货，乙方</w:t>
      </w:r>
      <w:r>
        <w:rPr>
          <w:rFonts w:hint="eastAsia" w:asciiTheme="minorEastAsia" w:hAnsiTheme="minorEastAsia"/>
          <w:szCs w:val="21"/>
        </w:rPr>
        <w:t>应</w:t>
      </w:r>
      <w:r>
        <w:rPr>
          <w:rFonts w:asciiTheme="minorEastAsia" w:hAnsiTheme="minorEastAsia"/>
          <w:szCs w:val="21"/>
        </w:rPr>
        <w:t>退回全部货款</w:t>
      </w:r>
      <w:r>
        <w:rPr>
          <w:rFonts w:hint="eastAsia" w:asciiTheme="minorEastAsia" w:hAnsiTheme="minorEastAsia"/>
          <w:szCs w:val="21"/>
        </w:rPr>
        <w:t>并</w:t>
      </w:r>
      <w:r>
        <w:rPr>
          <w:rFonts w:asciiTheme="minorEastAsia" w:hAnsiTheme="minorEastAsia"/>
          <w:szCs w:val="21"/>
        </w:rPr>
        <w:t>赔偿甲方因此遭受的损失。</w:t>
      </w:r>
    </w:p>
    <w:p>
      <w:pPr>
        <w:spacing w:line="360" w:lineRule="auto"/>
        <w:ind w:firstLine="420" w:firstLineChars="200"/>
        <w:jc w:val="left"/>
        <w:rPr>
          <w:rFonts w:asciiTheme="minorEastAsia" w:hAnsiTheme="minorEastAsia"/>
          <w:szCs w:val="21"/>
        </w:rPr>
      </w:pPr>
      <w:r>
        <w:rPr>
          <w:rFonts w:asciiTheme="minorEastAsia" w:hAnsiTheme="minorEastAsia"/>
          <w:szCs w:val="21"/>
        </w:rPr>
        <w:t>11.6乙方未履行本合同项下的其他义务或违反其在投标文件中的相关承诺的，应按合同总价款的【】%向甲方承担违约责任。</w:t>
      </w:r>
    </w:p>
    <w:p>
      <w:pPr>
        <w:spacing w:line="360" w:lineRule="auto"/>
        <w:ind w:firstLine="420" w:firstLineChars="200"/>
        <w:jc w:val="left"/>
        <w:rPr>
          <w:rFonts w:asciiTheme="minorEastAsia" w:hAnsiTheme="minorEastAsia"/>
          <w:szCs w:val="21"/>
        </w:rPr>
      </w:pPr>
      <w:r>
        <w:rPr>
          <w:rFonts w:asciiTheme="minorEastAsia" w:hAnsiTheme="minorEastAsia"/>
          <w:szCs w:val="21"/>
        </w:rPr>
        <w:t>11.7乙方在承担上述一项或多项违约责任后，仍应继续履行合同规定的义务（甲方解除合同的除外）。甲方未能及时追究乙方的任何一项违约责任并不表明甲方放弃追究乙方该项或其他违约责任。</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第十二条</w:t>
      </w:r>
      <w:r>
        <w:rPr>
          <w:rFonts w:asciiTheme="minorEastAsia" w:hAnsiTheme="minorEastAsia"/>
          <w:b/>
          <w:szCs w:val="21"/>
        </w:rPr>
        <w:t xml:space="preserve">  </w:t>
      </w:r>
      <w:r>
        <w:rPr>
          <w:rFonts w:hint="eastAsia" w:asciiTheme="minorEastAsia" w:hAnsiTheme="minorEastAsia"/>
          <w:b/>
          <w:szCs w:val="21"/>
        </w:rPr>
        <w:t>合同的变更、解除或终止</w:t>
      </w:r>
    </w:p>
    <w:p>
      <w:pPr>
        <w:spacing w:line="360" w:lineRule="auto"/>
        <w:ind w:firstLine="420" w:firstLineChars="200"/>
        <w:jc w:val="left"/>
        <w:rPr>
          <w:rFonts w:asciiTheme="minorEastAsia" w:hAnsiTheme="minorEastAsia"/>
          <w:szCs w:val="21"/>
        </w:rPr>
      </w:pPr>
      <w:r>
        <w:rPr>
          <w:rFonts w:asciiTheme="minorEastAsia" w:hAnsiTheme="minorEastAsia"/>
          <w:szCs w:val="21"/>
        </w:rPr>
        <w:t>12.1在合同履行中，甲方需追加与合同标的项目的货物、工程或者服务的，应按照《深圳经济特区政府采购条例》第四十条、第四十八条规定办理相关手续。</w:t>
      </w:r>
    </w:p>
    <w:p>
      <w:pPr>
        <w:spacing w:line="360" w:lineRule="auto"/>
        <w:ind w:firstLine="420" w:firstLineChars="200"/>
        <w:jc w:val="left"/>
        <w:rPr>
          <w:rFonts w:asciiTheme="minorEastAsia" w:hAnsiTheme="minorEastAsia"/>
          <w:szCs w:val="21"/>
        </w:rPr>
      </w:pPr>
      <w:r>
        <w:rPr>
          <w:rFonts w:asciiTheme="minorEastAsia" w:hAnsiTheme="minorEastAsia"/>
          <w:szCs w:val="21"/>
        </w:rPr>
        <w:t>12.</w:t>
      </w:r>
      <w:r>
        <w:rPr>
          <w:rFonts w:hint="eastAsia" w:asciiTheme="minorEastAsia" w:hAnsiTheme="minorEastAsia"/>
          <w:szCs w:val="21"/>
        </w:rPr>
        <w:t>2</w:t>
      </w:r>
      <w:r>
        <w:rPr>
          <w:rFonts w:asciiTheme="minorEastAsia" w:hAnsiTheme="minorEastAsia"/>
          <w:szCs w:val="21"/>
        </w:rPr>
        <w:t>除《中华人民共和国政府采购法》第49条、第50条第二款规定的情形外，本合同一经签订，甲乙双方不得擅自变更、中止或终止合同。</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第十三条</w:t>
      </w:r>
      <w:r>
        <w:rPr>
          <w:rFonts w:asciiTheme="minorEastAsia" w:hAnsiTheme="minorEastAsia"/>
          <w:b/>
          <w:szCs w:val="21"/>
        </w:rPr>
        <w:t xml:space="preserve">  </w:t>
      </w:r>
      <w:r>
        <w:rPr>
          <w:rFonts w:hint="eastAsia" w:asciiTheme="minorEastAsia" w:hAnsiTheme="minorEastAsia"/>
          <w:b/>
          <w:szCs w:val="21"/>
        </w:rPr>
        <w:t>争议的解决</w:t>
      </w:r>
    </w:p>
    <w:p>
      <w:pPr>
        <w:spacing w:line="360" w:lineRule="auto"/>
        <w:ind w:firstLine="420" w:firstLineChars="200"/>
        <w:jc w:val="left"/>
        <w:rPr>
          <w:rFonts w:asciiTheme="minorEastAsia" w:hAnsiTheme="minorEastAsia"/>
          <w:szCs w:val="21"/>
        </w:rPr>
      </w:pPr>
      <w:r>
        <w:rPr>
          <w:rFonts w:asciiTheme="minorEastAsia" w:hAnsiTheme="minorEastAsia"/>
          <w:szCs w:val="21"/>
        </w:rPr>
        <w:t>13.1因货物的质量问题发生争议的，应当邀请国家认可的质量检测机构对货物质量进行鉴定。货物符合标准的，鉴定费由甲方承担；货物不符合质量标准的，鉴定费由乙方承担。</w:t>
      </w:r>
    </w:p>
    <w:p>
      <w:pPr>
        <w:spacing w:line="360" w:lineRule="auto"/>
        <w:ind w:firstLine="420" w:firstLineChars="200"/>
        <w:jc w:val="left"/>
        <w:rPr>
          <w:rFonts w:asciiTheme="minorEastAsia" w:hAnsiTheme="minorEastAsia"/>
          <w:szCs w:val="21"/>
        </w:rPr>
      </w:pPr>
      <w:r>
        <w:rPr>
          <w:rFonts w:asciiTheme="minorEastAsia" w:hAnsiTheme="minorEastAsia"/>
          <w:szCs w:val="21"/>
        </w:rPr>
        <w:t>13.2因履行本合同引起的或与本合同有关的争议，甲、乙双方应首先通过友好协商解决，如果协商不能解决争议，则向甲方所在地有管辖权的人民法院提起诉讼。</w:t>
      </w:r>
    </w:p>
    <w:p>
      <w:pPr>
        <w:spacing w:line="360" w:lineRule="auto"/>
        <w:ind w:firstLine="422" w:firstLineChars="200"/>
        <w:jc w:val="left"/>
        <w:rPr>
          <w:rFonts w:asciiTheme="minorEastAsia" w:hAnsiTheme="minorEastAsia"/>
          <w:b/>
          <w:szCs w:val="21"/>
        </w:rPr>
      </w:pPr>
      <w:r>
        <w:rPr>
          <w:rFonts w:hint="eastAsia" w:asciiTheme="minorEastAsia" w:hAnsiTheme="minorEastAsia"/>
          <w:b/>
          <w:szCs w:val="21"/>
        </w:rPr>
        <w:t>第十四条</w:t>
      </w:r>
      <w:r>
        <w:rPr>
          <w:rFonts w:asciiTheme="minorEastAsia" w:hAnsiTheme="minorEastAsia"/>
          <w:b/>
          <w:szCs w:val="21"/>
        </w:rPr>
        <w:t xml:space="preserve">  </w:t>
      </w:r>
      <w:r>
        <w:rPr>
          <w:rFonts w:hint="eastAsia" w:asciiTheme="minorEastAsia" w:hAnsiTheme="minorEastAsia"/>
          <w:b/>
          <w:szCs w:val="21"/>
        </w:rPr>
        <w:t>合同生效及其他</w:t>
      </w:r>
    </w:p>
    <w:p>
      <w:pPr>
        <w:spacing w:line="360" w:lineRule="auto"/>
        <w:ind w:firstLine="420" w:firstLineChars="200"/>
        <w:jc w:val="left"/>
        <w:rPr>
          <w:rFonts w:asciiTheme="minorEastAsia" w:hAnsiTheme="minorEastAsia"/>
          <w:szCs w:val="21"/>
        </w:rPr>
      </w:pPr>
      <w:r>
        <w:rPr>
          <w:rFonts w:asciiTheme="minorEastAsia" w:hAnsiTheme="minorEastAsia"/>
          <w:szCs w:val="21"/>
        </w:rPr>
        <w:t>14.1下列文件均为本合同的组成部分：</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1）</w:t>
      </w:r>
      <w:r>
        <w:rPr>
          <w:rFonts w:hint="eastAsia" w:asciiTheme="minorEastAsia" w:hAnsiTheme="minorEastAsia"/>
          <w:szCs w:val="21"/>
        </w:rPr>
        <w:t>招标文件、答疑及补充通知；</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2）乙方的投标文件；</w:t>
      </w:r>
    </w:p>
    <w:p>
      <w:pPr>
        <w:spacing w:line="360" w:lineRule="auto"/>
        <w:ind w:firstLine="420" w:firstLineChars="200"/>
        <w:jc w:val="left"/>
        <w:rPr>
          <w:rFonts w:asciiTheme="minorEastAsia" w:hAnsiTheme="minorEastAsia"/>
          <w:szCs w:val="21"/>
        </w:rPr>
      </w:pPr>
      <w:r>
        <w:rPr>
          <w:rFonts w:hint="eastAsia" w:asciiTheme="minorEastAsia" w:hAnsiTheme="minorEastAsia"/>
          <w:szCs w:val="21"/>
        </w:rPr>
        <w:t>（</w:t>
      </w:r>
      <w:r>
        <w:rPr>
          <w:rFonts w:asciiTheme="minorEastAsia" w:hAnsiTheme="minorEastAsia"/>
          <w:szCs w:val="21"/>
        </w:rPr>
        <w:t>3）本合同执行中甲乙双方共同签署的补充与修正文件。</w:t>
      </w:r>
    </w:p>
    <w:p>
      <w:pPr>
        <w:spacing w:line="360" w:lineRule="auto"/>
        <w:ind w:firstLine="420" w:firstLineChars="200"/>
        <w:jc w:val="left"/>
        <w:rPr>
          <w:rFonts w:asciiTheme="minorEastAsia" w:hAnsiTheme="minorEastAsia"/>
          <w:szCs w:val="21"/>
        </w:rPr>
      </w:pPr>
      <w:r>
        <w:rPr>
          <w:rFonts w:asciiTheme="minorEastAsia" w:hAnsiTheme="minorEastAsia"/>
          <w:szCs w:val="21"/>
        </w:rPr>
        <w:t>14.2本合同一式</w:t>
      </w:r>
      <w:r>
        <w:rPr>
          <w:rFonts w:asciiTheme="minorEastAsia" w:hAnsiTheme="minorEastAsia"/>
          <w:szCs w:val="21"/>
          <w:u w:val="single"/>
        </w:rPr>
        <w:t xml:space="preserve">     </w:t>
      </w:r>
      <w:r>
        <w:rPr>
          <w:rFonts w:hint="eastAsia" w:asciiTheme="minorEastAsia" w:hAnsiTheme="minorEastAsia"/>
          <w:szCs w:val="21"/>
        </w:rPr>
        <w:t>份，甲、乙方双方各执</w:t>
      </w:r>
      <w:r>
        <w:rPr>
          <w:rFonts w:asciiTheme="minorEastAsia" w:hAnsiTheme="minorEastAsia"/>
          <w:szCs w:val="21"/>
          <w:u w:val="single"/>
        </w:rPr>
        <w:t xml:space="preserve">     </w:t>
      </w:r>
      <w:r>
        <w:rPr>
          <w:rFonts w:hint="eastAsia" w:asciiTheme="minorEastAsia" w:hAnsiTheme="minorEastAsia"/>
          <w:szCs w:val="21"/>
        </w:rPr>
        <w:t>份，具有同等法律效力。本合同自双方签字并盖章之日起生效。</w:t>
      </w:r>
    </w:p>
    <w:p>
      <w:pPr>
        <w:snapToGrid w:val="0"/>
        <w:spacing w:line="360" w:lineRule="auto"/>
        <w:ind w:firstLine="420" w:firstLineChars="200"/>
        <w:rPr>
          <w:rFonts w:ascii="宋体" w:hAnsi="宋体"/>
          <w:szCs w:val="21"/>
        </w:rPr>
      </w:pPr>
      <w:r>
        <w:rPr>
          <w:rFonts w:asciiTheme="minorEastAsia" w:hAnsiTheme="minorEastAsia"/>
          <w:szCs w:val="21"/>
        </w:rPr>
        <w:t>14.</w:t>
      </w:r>
      <w:r>
        <w:rPr>
          <w:rFonts w:hint="eastAsia" w:asciiTheme="minorEastAsia" w:hAnsiTheme="minorEastAsia"/>
          <w:szCs w:val="21"/>
        </w:rPr>
        <w:t>3</w:t>
      </w:r>
      <w:r>
        <w:rPr>
          <w:rFonts w:hint="eastAsia" w:ascii="宋体" w:hAnsi="宋体"/>
          <w:szCs w:val="21"/>
        </w:rPr>
        <w:t>本合同未尽事宜，双方友好协商，达成解决方案，经双方签字后，可作为本合同的有效附件。</w:t>
      </w:r>
    </w:p>
    <w:p>
      <w:pPr>
        <w:spacing w:line="360" w:lineRule="auto"/>
        <w:ind w:firstLine="420" w:firstLineChars="200"/>
        <w:jc w:val="left"/>
        <w:rPr>
          <w:rFonts w:asciiTheme="minorEastAsia" w:hAnsiTheme="minorEastAsia"/>
          <w:szCs w:val="21"/>
        </w:rPr>
      </w:pP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pacing w:line="360" w:lineRule="auto"/>
        <w:ind w:firstLine="420" w:firstLineChars="200"/>
        <w:jc w:val="left"/>
        <w:rPr>
          <w:rFonts w:asciiTheme="minorEastAsia" w:hAnsiTheme="minorEastAsia"/>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6" w:name="_Toc110410309"/>
      <w:r>
        <w:rPr>
          <w:rFonts w:hint="eastAsia"/>
        </w:rPr>
        <w:t>第九章  附件</w:t>
      </w:r>
      <w:bookmarkEnd w:id="86"/>
    </w:p>
    <w:p>
      <w:pPr>
        <w:pStyle w:val="4"/>
        <w:spacing w:before="0" w:after="0"/>
      </w:pPr>
      <w:bookmarkStart w:id="87" w:name="_Toc110410310"/>
      <w:r>
        <w:rPr>
          <w:rFonts w:hint="eastAsia"/>
        </w:rPr>
        <w:t>一、财政部 工业和信息化部关于印发《政府采购促进中小企业发展管理办法》的通知</w:t>
      </w:r>
      <w:bookmarkEnd w:id="87"/>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pPr>
      <w:bookmarkStart w:id="88" w:name="_Toc110410311"/>
      <w:r>
        <w:rPr>
          <w:rFonts w:hint="eastAsia"/>
        </w:rPr>
        <w:t>二、关于印发中小企业划型标准规定的通知</w:t>
      </w:r>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pPr>
      <w:bookmarkStart w:id="89" w:name="_Toc110410312"/>
      <w:r>
        <w:rPr>
          <w:rFonts w:hint="eastAsia"/>
        </w:rPr>
        <w:t>三、</w:t>
      </w:r>
      <w:r>
        <w:t>国家统计局关于印发《统计上大中小微型企业划分办法 （2017）》的通知</w:t>
      </w:r>
      <w:bookmarkEnd w:id="89"/>
      <w: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pPr>
      <w:bookmarkStart w:id="90" w:name="_Toc110410313"/>
      <w:r>
        <w:rPr>
          <w:rFonts w:hint="eastAsia"/>
        </w:rPr>
        <w:t>四、</w:t>
      </w:r>
      <w:r>
        <w:t>财政部 民政部 中国残疾人联合会关于促进残疾人就业 政府采购政策的通知</w:t>
      </w:r>
      <w:bookmarkEnd w:id="90"/>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asciiTheme="minorEastAsia" w:hAnsiTheme="minorEastAsia" w:eastAsiaTheme="minorEastAsia"/>
          <w:szCs w:val="21"/>
        </w:rPr>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H Yb 2gj">
    <w:altName w:val="黑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宋体"/>
    <w:panose1 w:val="00000000000000000000"/>
    <w:charset w:val="86"/>
    <w:family w:val="roman"/>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经典标宋简">
    <w:altName w:val="微软雅黑"/>
    <w:panose1 w:val="00000000000000000000"/>
    <w:charset w:val="00"/>
    <w:family w:val="modern"/>
    <w:pitch w:val="default"/>
    <w:sig w:usb0="00000000" w:usb1="00000000" w:usb2="00000010" w:usb3="00000000" w:csb0="00040000" w:csb1="00000000"/>
  </w:font>
  <w:font w:name="经典等线简">
    <w:altName w:val="仿宋"/>
    <w:panose1 w:val="00000000000000000000"/>
    <w:charset w:val="00"/>
    <w:family w:val="modern"/>
    <w:pitch w:val="default"/>
    <w:sig w:usb0="00000000" w:usb1="00000000" w:usb2="00000010" w:usb3="00000000" w:csb0="00040000"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17</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rPr>
        <w:rFonts w:hint="eastAsia" w:asciiTheme="minorEastAsia" w:hAnsiTheme="minorEastAsia" w:eastAsiaTheme="minorEastAsia"/>
        <w:lang w:eastAsia="zh-CN"/>
      </w:rPr>
    </w:pPr>
    <w:r>
      <w:tab/>
    </w:r>
    <w:r>
      <w:rPr>
        <w:rFonts w:hint="eastAsia" w:asciiTheme="minorEastAsia" w:hAnsiTheme="minorEastAsia" w:eastAsiaTheme="minorEastAsia"/>
      </w:rPr>
      <w:t>项目名称：</w:t>
    </w:r>
    <w:r>
      <w:rPr>
        <w:rFonts w:hint="eastAsia" w:asciiTheme="minorEastAsia" w:hAnsiTheme="minorEastAsia" w:eastAsiaTheme="minorEastAsia"/>
        <w:lang w:eastAsia="zh-CN"/>
      </w:rPr>
      <w:t>荧光定量PCR仪</w:t>
    </w:r>
    <w:r>
      <w:rPr>
        <w:rFonts w:hint="eastAsia" w:asciiTheme="minorEastAsia" w:hAnsiTheme="minorEastAsia" w:eastAsiaTheme="minorEastAsia"/>
      </w:rPr>
      <w:t xml:space="preserve">                                      </w:t>
    </w:r>
    <w:r>
      <w:rPr>
        <w:rFonts w:hint="eastAsia" w:asciiTheme="minorEastAsia" w:hAnsiTheme="minorEastAsia" w:eastAsiaTheme="minorEastAsia"/>
        <w:lang w:val="en-US" w:eastAsia="zh-CN"/>
      </w:rPr>
      <w:t xml:space="preserve">                    </w:t>
    </w:r>
    <w:r>
      <w:rPr>
        <w:rFonts w:hint="eastAsia" w:asciiTheme="minorEastAsia" w:hAnsiTheme="minorEastAsia" w:eastAsiaTheme="minorEastAsia"/>
      </w:rPr>
      <w:t>项目编号：</w:t>
    </w:r>
    <w:r>
      <w:rPr>
        <w:rFonts w:hint="eastAsia" w:asciiTheme="minorEastAsia" w:hAnsiTheme="minorEastAsia" w:eastAsiaTheme="minorEastAsia"/>
        <w:lang w:eastAsia="zh-CN"/>
      </w:rPr>
      <w:t>SZZZ2022-QA0304</w:t>
    </w:r>
  </w:p>
  <w:p>
    <w:pPr>
      <w:pStyle w:val="32"/>
      <w:tabs>
        <w:tab w:val="center" w:pos="4819"/>
        <w:tab w:val="right" w:pos="9638"/>
      </w:tabs>
      <w:jc w:val="left"/>
      <w:rPr>
        <w:u w:val="single"/>
      </w:rPr>
    </w:pPr>
    <w:r>
      <w:rPr>
        <w:rFonts w:hint="eastAsia"/>
        <w:u w:val="single"/>
      </w:rPr>
      <w:t xml:space="preserve">                                                                                                       </w:t>
    </w:r>
    <w:r>
      <w:rPr>
        <w:u w:val="single"/>
      </w:rPr>
      <w:tab/>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NiN2JjZGQwODQzNTVmMDg4ZGNmNzRhYmJlZDY2YTUifQ=="/>
  </w:docVars>
  <w:rsids>
    <w:rsidRoot w:val="00172A27"/>
    <w:rsid w:val="0000124D"/>
    <w:rsid w:val="0000134D"/>
    <w:rsid w:val="00001635"/>
    <w:rsid w:val="000035D6"/>
    <w:rsid w:val="000036D6"/>
    <w:rsid w:val="00003921"/>
    <w:rsid w:val="000039AF"/>
    <w:rsid w:val="00003A46"/>
    <w:rsid w:val="000042A3"/>
    <w:rsid w:val="0000430B"/>
    <w:rsid w:val="00004906"/>
    <w:rsid w:val="000049DE"/>
    <w:rsid w:val="00004AF7"/>
    <w:rsid w:val="00004FC4"/>
    <w:rsid w:val="00005751"/>
    <w:rsid w:val="00005C27"/>
    <w:rsid w:val="0000670A"/>
    <w:rsid w:val="00006922"/>
    <w:rsid w:val="00006E2A"/>
    <w:rsid w:val="000074B0"/>
    <w:rsid w:val="000103E3"/>
    <w:rsid w:val="00010937"/>
    <w:rsid w:val="00010B8D"/>
    <w:rsid w:val="00010DC3"/>
    <w:rsid w:val="00011A45"/>
    <w:rsid w:val="00011AAF"/>
    <w:rsid w:val="00012A6E"/>
    <w:rsid w:val="00012BC4"/>
    <w:rsid w:val="00012F81"/>
    <w:rsid w:val="00013127"/>
    <w:rsid w:val="00014515"/>
    <w:rsid w:val="00014625"/>
    <w:rsid w:val="000155DA"/>
    <w:rsid w:val="00015940"/>
    <w:rsid w:val="00015AF5"/>
    <w:rsid w:val="00016458"/>
    <w:rsid w:val="000165EF"/>
    <w:rsid w:val="00016FC3"/>
    <w:rsid w:val="000208F8"/>
    <w:rsid w:val="00021304"/>
    <w:rsid w:val="0002197F"/>
    <w:rsid w:val="00022C27"/>
    <w:rsid w:val="00022F4F"/>
    <w:rsid w:val="00022FA9"/>
    <w:rsid w:val="000250AF"/>
    <w:rsid w:val="00025B21"/>
    <w:rsid w:val="00025D5B"/>
    <w:rsid w:val="00026249"/>
    <w:rsid w:val="00026BDD"/>
    <w:rsid w:val="00027415"/>
    <w:rsid w:val="000274F7"/>
    <w:rsid w:val="000307C5"/>
    <w:rsid w:val="00030D77"/>
    <w:rsid w:val="00031415"/>
    <w:rsid w:val="00031887"/>
    <w:rsid w:val="000319D1"/>
    <w:rsid w:val="00034043"/>
    <w:rsid w:val="0003479B"/>
    <w:rsid w:val="000347CB"/>
    <w:rsid w:val="00034900"/>
    <w:rsid w:val="0003493D"/>
    <w:rsid w:val="0003524E"/>
    <w:rsid w:val="00035FE0"/>
    <w:rsid w:val="000367ED"/>
    <w:rsid w:val="0003688B"/>
    <w:rsid w:val="000370BD"/>
    <w:rsid w:val="000372E9"/>
    <w:rsid w:val="00037359"/>
    <w:rsid w:val="0003762A"/>
    <w:rsid w:val="0003795A"/>
    <w:rsid w:val="0004022A"/>
    <w:rsid w:val="00040784"/>
    <w:rsid w:val="00041122"/>
    <w:rsid w:val="000414AB"/>
    <w:rsid w:val="00042758"/>
    <w:rsid w:val="0004315F"/>
    <w:rsid w:val="00043926"/>
    <w:rsid w:val="00043D2B"/>
    <w:rsid w:val="000447F6"/>
    <w:rsid w:val="00045923"/>
    <w:rsid w:val="00045EB5"/>
    <w:rsid w:val="00046595"/>
    <w:rsid w:val="0004741F"/>
    <w:rsid w:val="00047612"/>
    <w:rsid w:val="00047852"/>
    <w:rsid w:val="00047A79"/>
    <w:rsid w:val="00050F73"/>
    <w:rsid w:val="00051378"/>
    <w:rsid w:val="000529DE"/>
    <w:rsid w:val="00053074"/>
    <w:rsid w:val="00053F8F"/>
    <w:rsid w:val="000545F7"/>
    <w:rsid w:val="00054837"/>
    <w:rsid w:val="000550A3"/>
    <w:rsid w:val="0005520A"/>
    <w:rsid w:val="0005526E"/>
    <w:rsid w:val="000558BB"/>
    <w:rsid w:val="00056374"/>
    <w:rsid w:val="0005650D"/>
    <w:rsid w:val="00056617"/>
    <w:rsid w:val="00057655"/>
    <w:rsid w:val="00060526"/>
    <w:rsid w:val="00061300"/>
    <w:rsid w:val="000621B0"/>
    <w:rsid w:val="00062570"/>
    <w:rsid w:val="0006264D"/>
    <w:rsid w:val="0006301D"/>
    <w:rsid w:val="0006339B"/>
    <w:rsid w:val="00064787"/>
    <w:rsid w:val="00064A61"/>
    <w:rsid w:val="00066813"/>
    <w:rsid w:val="000668F4"/>
    <w:rsid w:val="0006745C"/>
    <w:rsid w:val="00067D3F"/>
    <w:rsid w:val="000700C5"/>
    <w:rsid w:val="00070384"/>
    <w:rsid w:val="00071507"/>
    <w:rsid w:val="0007191E"/>
    <w:rsid w:val="00071BA1"/>
    <w:rsid w:val="0007211D"/>
    <w:rsid w:val="000730F3"/>
    <w:rsid w:val="00073348"/>
    <w:rsid w:val="00073A35"/>
    <w:rsid w:val="00073B23"/>
    <w:rsid w:val="00073DB3"/>
    <w:rsid w:val="00073EE2"/>
    <w:rsid w:val="00074554"/>
    <w:rsid w:val="00074BEF"/>
    <w:rsid w:val="00075AD5"/>
    <w:rsid w:val="00080168"/>
    <w:rsid w:val="00080188"/>
    <w:rsid w:val="00080A90"/>
    <w:rsid w:val="00080C2D"/>
    <w:rsid w:val="00081B06"/>
    <w:rsid w:val="000820E6"/>
    <w:rsid w:val="000825F6"/>
    <w:rsid w:val="00082956"/>
    <w:rsid w:val="00082ABE"/>
    <w:rsid w:val="000839DA"/>
    <w:rsid w:val="00083D3F"/>
    <w:rsid w:val="00083E84"/>
    <w:rsid w:val="0008402F"/>
    <w:rsid w:val="00085134"/>
    <w:rsid w:val="000851F8"/>
    <w:rsid w:val="00085317"/>
    <w:rsid w:val="00085419"/>
    <w:rsid w:val="000855C1"/>
    <w:rsid w:val="00085908"/>
    <w:rsid w:val="0008596C"/>
    <w:rsid w:val="00085DE9"/>
    <w:rsid w:val="00085FFE"/>
    <w:rsid w:val="000866A3"/>
    <w:rsid w:val="000867FB"/>
    <w:rsid w:val="00086F62"/>
    <w:rsid w:val="000870F2"/>
    <w:rsid w:val="000871D6"/>
    <w:rsid w:val="000878FF"/>
    <w:rsid w:val="00087F07"/>
    <w:rsid w:val="0009127F"/>
    <w:rsid w:val="0009133A"/>
    <w:rsid w:val="0009145A"/>
    <w:rsid w:val="00091526"/>
    <w:rsid w:val="00091CAC"/>
    <w:rsid w:val="00092BD5"/>
    <w:rsid w:val="00093007"/>
    <w:rsid w:val="00094366"/>
    <w:rsid w:val="00095198"/>
    <w:rsid w:val="00095806"/>
    <w:rsid w:val="00095F61"/>
    <w:rsid w:val="00096CE6"/>
    <w:rsid w:val="00097B04"/>
    <w:rsid w:val="000A0947"/>
    <w:rsid w:val="000A0ABE"/>
    <w:rsid w:val="000A0DC0"/>
    <w:rsid w:val="000A24AF"/>
    <w:rsid w:val="000A274D"/>
    <w:rsid w:val="000A2C52"/>
    <w:rsid w:val="000A2D79"/>
    <w:rsid w:val="000A3358"/>
    <w:rsid w:val="000A43D6"/>
    <w:rsid w:val="000A530C"/>
    <w:rsid w:val="000A54E6"/>
    <w:rsid w:val="000A584E"/>
    <w:rsid w:val="000A58B9"/>
    <w:rsid w:val="000A5A8E"/>
    <w:rsid w:val="000A5CD4"/>
    <w:rsid w:val="000A6F16"/>
    <w:rsid w:val="000A7A6C"/>
    <w:rsid w:val="000A7C5A"/>
    <w:rsid w:val="000B0205"/>
    <w:rsid w:val="000B0817"/>
    <w:rsid w:val="000B10D9"/>
    <w:rsid w:val="000B1ED2"/>
    <w:rsid w:val="000B20FC"/>
    <w:rsid w:val="000B3202"/>
    <w:rsid w:val="000B493E"/>
    <w:rsid w:val="000B4F60"/>
    <w:rsid w:val="000B5CC8"/>
    <w:rsid w:val="000B5DFC"/>
    <w:rsid w:val="000B61BF"/>
    <w:rsid w:val="000B620E"/>
    <w:rsid w:val="000B67E1"/>
    <w:rsid w:val="000C080D"/>
    <w:rsid w:val="000C1B95"/>
    <w:rsid w:val="000C299D"/>
    <w:rsid w:val="000C2A5E"/>
    <w:rsid w:val="000C3B21"/>
    <w:rsid w:val="000C428C"/>
    <w:rsid w:val="000C4328"/>
    <w:rsid w:val="000C4401"/>
    <w:rsid w:val="000C48DA"/>
    <w:rsid w:val="000C605A"/>
    <w:rsid w:val="000C63AE"/>
    <w:rsid w:val="000C6BB0"/>
    <w:rsid w:val="000C7685"/>
    <w:rsid w:val="000D0C86"/>
    <w:rsid w:val="000D0C91"/>
    <w:rsid w:val="000D11F6"/>
    <w:rsid w:val="000D1EAF"/>
    <w:rsid w:val="000D2056"/>
    <w:rsid w:val="000D2C8E"/>
    <w:rsid w:val="000D2CA8"/>
    <w:rsid w:val="000D3909"/>
    <w:rsid w:val="000D39D7"/>
    <w:rsid w:val="000D3DAF"/>
    <w:rsid w:val="000D4816"/>
    <w:rsid w:val="000D48D5"/>
    <w:rsid w:val="000D5E0E"/>
    <w:rsid w:val="000D5E7D"/>
    <w:rsid w:val="000D6088"/>
    <w:rsid w:val="000D6CFF"/>
    <w:rsid w:val="000D6D74"/>
    <w:rsid w:val="000D6F21"/>
    <w:rsid w:val="000D7803"/>
    <w:rsid w:val="000D7D8E"/>
    <w:rsid w:val="000D7DC6"/>
    <w:rsid w:val="000E1550"/>
    <w:rsid w:val="000E18B0"/>
    <w:rsid w:val="000E1BD5"/>
    <w:rsid w:val="000E1C6E"/>
    <w:rsid w:val="000E214A"/>
    <w:rsid w:val="000E21D9"/>
    <w:rsid w:val="000E2823"/>
    <w:rsid w:val="000E3219"/>
    <w:rsid w:val="000E321B"/>
    <w:rsid w:val="000E3D76"/>
    <w:rsid w:val="000E52FA"/>
    <w:rsid w:val="000E6437"/>
    <w:rsid w:val="000E671E"/>
    <w:rsid w:val="000F06E7"/>
    <w:rsid w:val="000F0B03"/>
    <w:rsid w:val="000F0D6F"/>
    <w:rsid w:val="000F1EDD"/>
    <w:rsid w:val="000F23CA"/>
    <w:rsid w:val="000F243B"/>
    <w:rsid w:val="000F262E"/>
    <w:rsid w:val="000F3580"/>
    <w:rsid w:val="000F3F04"/>
    <w:rsid w:val="000F420E"/>
    <w:rsid w:val="000F454C"/>
    <w:rsid w:val="000F4EE2"/>
    <w:rsid w:val="000F527A"/>
    <w:rsid w:val="000F5C16"/>
    <w:rsid w:val="000F6308"/>
    <w:rsid w:val="000F6C6E"/>
    <w:rsid w:val="000F7241"/>
    <w:rsid w:val="000F7836"/>
    <w:rsid w:val="000F7F62"/>
    <w:rsid w:val="001001FD"/>
    <w:rsid w:val="00100694"/>
    <w:rsid w:val="001018E6"/>
    <w:rsid w:val="00101DFC"/>
    <w:rsid w:val="00102684"/>
    <w:rsid w:val="00102A12"/>
    <w:rsid w:val="00102CC6"/>
    <w:rsid w:val="00102F0D"/>
    <w:rsid w:val="00102F55"/>
    <w:rsid w:val="001048BE"/>
    <w:rsid w:val="0010529C"/>
    <w:rsid w:val="001072EB"/>
    <w:rsid w:val="001075C1"/>
    <w:rsid w:val="00107924"/>
    <w:rsid w:val="001079CD"/>
    <w:rsid w:val="0011014B"/>
    <w:rsid w:val="00111274"/>
    <w:rsid w:val="001113BF"/>
    <w:rsid w:val="001117B9"/>
    <w:rsid w:val="00112EFC"/>
    <w:rsid w:val="0011317D"/>
    <w:rsid w:val="001134EF"/>
    <w:rsid w:val="00114386"/>
    <w:rsid w:val="00114496"/>
    <w:rsid w:val="001148BD"/>
    <w:rsid w:val="001151A9"/>
    <w:rsid w:val="00115CCC"/>
    <w:rsid w:val="00116BDF"/>
    <w:rsid w:val="0012030F"/>
    <w:rsid w:val="00120AB4"/>
    <w:rsid w:val="00120BE1"/>
    <w:rsid w:val="00121A55"/>
    <w:rsid w:val="00121C20"/>
    <w:rsid w:val="00121CCD"/>
    <w:rsid w:val="00122C88"/>
    <w:rsid w:val="00123367"/>
    <w:rsid w:val="00123EA6"/>
    <w:rsid w:val="00124206"/>
    <w:rsid w:val="0012456B"/>
    <w:rsid w:val="00124932"/>
    <w:rsid w:val="0012537B"/>
    <w:rsid w:val="0012558C"/>
    <w:rsid w:val="0012714F"/>
    <w:rsid w:val="00127915"/>
    <w:rsid w:val="0013031C"/>
    <w:rsid w:val="00130801"/>
    <w:rsid w:val="00130A8C"/>
    <w:rsid w:val="001310AA"/>
    <w:rsid w:val="001312DF"/>
    <w:rsid w:val="00132670"/>
    <w:rsid w:val="001328E9"/>
    <w:rsid w:val="00133AF2"/>
    <w:rsid w:val="00133E88"/>
    <w:rsid w:val="0013411A"/>
    <w:rsid w:val="001349F3"/>
    <w:rsid w:val="001356AB"/>
    <w:rsid w:val="0013581C"/>
    <w:rsid w:val="00136615"/>
    <w:rsid w:val="00136BA5"/>
    <w:rsid w:val="00137077"/>
    <w:rsid w:val="00137241"/>
    <w:rsid w:val="00137B1E"/>
    <w:rsid w:val="00140047"/>
    <w:rsid w:val="001403D0"/>
    <w:rsid w:val="00141229"/>
    <w:rsid w:val="00141E96"/>
    <w:rsid w:val="00142681"/>
    <w:rsid w:val="00142BD9"/>
    <w:rsid w:val="00143392"/>
    <w:rsid w:val="001438E5"/>
    <w:rsid w:val="00143AB1"/>
    <w:rsid w:val="00143D73"/>
    <w:rsid w:val="001448C4"/>
    <w:rsid w:val="0014619B"/>
    <w:rsid w:val="001467AB"/>
    <w:rsid w:val="001468DA"/>
    <w:rsid w:val="00146E88"/>
    <w:rsid w:val="00147B19"/>
    <w:rsid w:val="00150618"/>
    <w:rsid w:val="00150E64"/>
    <w:rsid w:val="00151766"/>
    <w:rsid w:val="00152417"/>
    <w:rsid w:val="0015247A"/>
    <w:rsid w:val="00152F39"/>
    <w:rsid w:val="00153226"/>
    <w:rsid w:val="00153918"/>
    <w:rsid w:val="0015395B"/>
    <w:rsid w:val="001547E1"/>
    <w:rsid w:val="00154F74"/>
    <w:rsid w:val="00156320"/>
    <w:rsid w:val="00156E27"/>
    <w:rsid w:val="001570A5"/>
    <w:rsid w:val="001571E8"/>
    <w:rsid w:val="0015749F"/>
    <w:rsid w:val="00157606"/>
    <w:rsid w:val="00160375"/>
    <w:rsid w:val="00160D4E"/>
    <w:rsid w:val="00160F50"/>
    <w:rsid w:val="00161522"/>
    <w:rsid w:val="001617AE"/>
    <w:rsid w:val="00161E4F"/>
    <w:rsid w:val="0016263C"/>
    <w:rsid w:val="001628C8"/>
    <w:rsid w:val="00162AE8"/>
    <w:rsid w:val="00162C56"/>
    <w:rsid w:val="00162DB2"/>
    <w:rsid w:val="00163EA0"/>
    <w:rsid w:val="00164626"/>
    <w:rsid w:val="00164924"/>
    <w:rsid w:val="00164A55"/>
    <w:rsid w:val="001657B1"/>
    <w:rsid w:val="00166DCC"/>
    <w:rsid w:val="00167927"/>
    <w:rsid w:val="0017073E"/>
    <w:rsid w:val="00170C17"/>
    <w:rsid w:val="00170C6E"/>
    <w:rsid w:val="0017173E"/>
    <w:rsid w:val="00171CA3"/>
    <w:rsid w:val="001722D8"/>
    <w:rsid w:val="00172715"/>
    <w:rsid w:val="00172A27"/>
    <w:rsid w:val="00172AE3"/>
    <w:rsid w:val="00172C34"/>
    <w:rsid w:val="00173149"/>
    <w:rsid w:val="00173759"/>
    <w:rsid w:val="001739A3"/>
    <w:rsid w:val="00173A21"/>
    <w:rsid w:val="00173D26"/>
    <w:rsid w:val="001742DD"/>
    <w:rsid w:val="00174312"/>
    <w:rsid w:val="00175A5E"/>
    <w:rsid w:val="00175B46"/>
    <w:rsid w:val="00177212"/>
    <w:rsid w:val="001774D4"/>
    <w:rsid w:val="00177549"/>
    <w:rsid w:val="00177744"/>
    <w:rsid w:val="00177780"/>
    <w:rsid w:val="001778BE"/>
    <w:rsid w:val="00177F89"/>
    <w:rsid w:val="00180B0D"/>
    <w:rsid w:val="00181389"/>
    <w:rsid w:val="00181FEA"/>
    <w:rsid w:val="00182706"/>
    <w:rsid w:val="0018284B"/>
    <w:rsid w:val="00183600"/>
    <w:rsid w:val="00183836"/>
    <w:rsid w:val="00183DB4"/>
    <w:rsid w:val="001845E9"/>
    <w:rsid w:val="00184630"/>
    <w:rsid w:val="001846D7"/>
    <w:rsid w:val="00184815"/>
    <w:rsid w:val="001856C0"/>
    <w:rsid w:val="00185CB5"/>
    <w:rsid w:val="001864FF"/>
    <w:rsid w:val="00186D2F"/>
    <w:rsid w:val="00187B3E"/>
    <w:rsid w:val="0019153B"/>
    <w:rsid w:val="001915A3"/>
    <w:rsid w:val="001919EB"/>
    <w:rsid w:val="00191B94"/>
    <w:rsid w:val="0019227B"/>
    <w:rsid w:val="00192D08"/>
    <w:rsid w:val="00193031"/>
    <w:rsid w:val="0019368B"/>
    <w:rsid w:val="001938D2"/>
    <w:rsid w:val="001938DD"/>
    <w:rsid w:val="001941C8"/>
    <w:rsid w:val="00194A96"/>
    <w:rsid w:val="00195B8B"/>
    <w:rsid w:val="00195DCB"/>
    <w:rsid w:val="00195F14"/>
    <w:rsid w:val="001961A2"/>
    <w:rsid w:val="00196787"/>
    <w:rsid w:val="00196ACD"/>
    <w:rsid w:val="00196B4C"/>
    <w:rsid w:val="001970AD"/>
    <w:rsid w:val="00197204"/>
    <w:rsid w:val="001A040A"/>
    <w:rsid w:val="001A10F7"/>
    <w:rsid w:val="001A173C"/>
    <w:rsid w:val="001A1844"/>
    <w:rsid w:val="001A1998"/>
    <w:rsid w:val="001A1BE9"/>
    <w:rsid w:val="001A20CA"/>
    <w:rsid w:val="001A29AF"/>
    <w:rsid w:val="001A2B9F"/>
    <w:rsid w:val="001A2D43"/>
    <w:rsid w:val="001A2DA7"/>
    <w:rsid w:val="001A2E47"/>
    <w:rsid w:val="001A3B13"/>
    <w:rsid w:val="001A3CF6"/>
    <w:rsid w:val="001A3EE7"/>
    <w:rsid w:val="001A4420"/>
    <w:rsid w:val="001A5725"/>
    <w:rsid w:val="001A68EC"/>
    <w:rsid w:val="001A6C49"/>
    <w:rsid w:val="001A7C91"/>
    <w:rsid w:val="001B0220"/>
    <w:rsid w:val="001B0850"/>
    <w:rsid w:val="001B0AEB"/>
    <w:rsid w:val="001B1281"/>
    <w:rsid w:val="001B1712"/>
    <w:rsid w:val="001B1D39"/>
    <w:rsid w:val="001B2126"/>
    <w:rsid w:val="001B238D"/>
    <w:rsid w:val="001B23F5"/>
    <w:rsid w:val="001B2A31"/>
    <w:rsid w:val="001B2BC4"/>
    <w:rsid w:val="001B2D49"/>
    <w:rsid w:val="001B3D9D"/>
    <w:rsid w:val="001B57AB"/>
    <w:rsid w:val="001B5B42"/>
    <w:rsid w:val="001B6DDB"/>
    <w:rsid w:val="001B7078"/>
    <w:rsid w:val="001B7491"/>
    <w:rsid w:val="001B75CF"/>
    <w:rsid w:val="001B7A8D"/>
    <w:rsid w:val="001B7EBE"/>
    <w:rsid w:val="001C06C0"/>
    <w:rsid w:val="001C0924"/>
    <w:rsid w:val="001C10E5"/>
    <w:rsid w:val="001C1A12"/>
    <w:rsid w:val="001C1D46"/>
    <w:rsid w:val="001C1F6C"/>
    <w:rsid w:val="001C21BB"/>
    <w:rsid w:val="001C3041"/>
    <w:rsid w:val="001C30D1"/>
    <w:rsid w:val="001C33D6"/>
    <w:rsid w:val="001C35B7"/>
    <w:rsid w:val="001C36F7"/>
    <w:rsid w:val="001C3AE0"/>
    <w:rsid w:val="001C3BAD"/>
    <w:rsid w:val="001C4182"/>
    <w:rsid w:val="001C5F9A"/>
    <w:rsid w:val="001C7E49"/>
    <w:rsid w:val="001D012D"/>
    <w:rsid w:val="001D0702"/>
    <w:rsid w:val="001D0A25"/>
    <w:rsid w:val="001D1659"/>
    <w:rsid w:val="001D296C"/>
    <w:rsid w:val="001D2F3D"/>
    <w:rsid w:val="001D33C3"/>
    <w:rsid w:val="001D3C8D"/>
    <w:rsid w:val="001D3DED"/>
    <w:rsid w:val="001D3DF8"/>
    <w:rsid w:val="001D4078"/>
    <w:rsid w:val="001D4E6F"/>
    <w:rsid w:val="001D5573"/>
    <w:rsid w:val="001D5E80"/>
    <w:rsid w:val="001D6157"/>
    <w:rsid w:val="001D6356"/>
    <w:rsid w:val="001D64D4"/>
    <w:rsid w:val="001D6A56"/>
    <w:rsid w:val="001D6EC3"/>
    <w:rsid w:val="001D710C"/>
    <w:rsid w:val="001E11B1"/>
    <w:rsid w:val="001E208F"/>
    <w:rsid w:val="001E233C"/>
    <w:rsid w:val="001E4950"/>
    <w:rsid w:val="001E5014"/>
    <w:rsid w:val="001E630A"/>
    <w:rsid w:val="001E67F4"/>
    <w:rsid w:val="001E7838"/>
    <w:rsid w:val="001E7A22"/>
    <w:rsid w:val="001E7D19"/>
    <w:rsid w:val="001F015A"/>
    <w:rsid w:val="001F03A2"/>
    <w:rsid w:val="001F0CFA"/>
    <w:rsid w:val="001F1464"/>
    <w:rsid w:val="001F1905"/>
    <w:rsid w:val="001F1EAE"/>
    <w:rsid w:val="001F1F7F"/>
    <w:rsid w:val="001F2E14"/>
    <w:rsid w:val="001F37E0"/>
    <w:rsid w:val="001F401A"/>
    <w:rsid w:val="001F4A76"/>
    <w:rsid w:val="001F4D92"/>
    <w:rsid w:val="001F4F4A"/>
    <w:rsid w:val="001F534F"/>
    <w:rsid w:val="001F543D"/>
    <w:rsid w:val="001F56BD"/>
    <w:rsid w:val="001F5989"/>
    <w:rsid w:val="001F5F83"/>
    <w:rsid w:val="001F64C1"/>
    <w:rsid w:val="001F6FA9"/>
    <w:rsid w:val="001F7746"/>
    <w:rsid w:val="002001F1"/>
    <w:rsid w:val="00201348"/>
    <w:rsid w:val="002014D7"/>
    <w:rsid w:val="00201A4E"/>
    <w:rsid w:val="00201B09"/>
    <w:rsid w:val="00201C8A"/>
    <w:rsid w:val="00202525"/>
    <w:rsid w:val="002035A2"/>
    <w:rsid w:val="00203669"/>
    <w:rsid w:val="00203887"/>
    <w:rsid w:val="002046D6"/>
    <w:rsid w:val="00204D09"/>
    <w:rsid w:val="00205C71"/>
    <w:rsid w:val="00205E32"/>
    <w:rsid w:val="002070C1"/>
    <w:rsid w:val="0020717B"/>
    <w:rsid w:val="002071DB"/>
    <w:rsid w:val="00207468"/>
    <w:rsid w:val="00207844"/>
    <w:rsid w:val="00210436"/>
    <w:rsid w:val="0021043B"/>
    <w:rsid w:val="0021054E"/>
    <w:rsid w:val="0021095C"/>
    <w:rsid w:val="00210AC5"/>
    <w:rsid w:val="00210E7E"/>
    <w:rsid w:val="00211084"/>
    <w:rsid w:val="00211254"/>
    <w:rsid w:val="002122AD"/>
    <w:rsid w:val="0021299B"/>
    <w:rsid w:val="002139CD"/>
    <w:rsid w:val="00213E88"/>
    <w:rsid w:val="00214C22"/>
    <w:rsid w:val="00214C4A"/>
    <w:rsid w:val="00214FDD"/>
    <w:rsid w:val="0021647A"/>
    <w:rsid w:val="002170FD"/>
    <w:rsid w:val="002175FD"/>
    <w:rsid w:val="0021781A"/>
    <w:rsid w:val="00217A9E"/>
    <w:rsid w:val="002201AC"/>
    <w:rsid w:val="0022067E"/>
    <w:rsid w:val="00221029"/>
    <w:rsid w:val="0022131F"/>
    <w:rsid w:val="002216BD"/>
    <w:rsid w:val="00221E89"/>
    <w:rsid w:val="00221FE8"/>
    <w:rsid w:val="00222F08"/>
    <w:rsid w:val="00223045"/>
    <w:rsid w:val="002237FD"/>
    <w:rsid w:val="0022383D"/>
    <w:rsid w:val="00223B99"/>
    <w:rsid w:val="00223DBF"/>
    <w:rsid w:val="0022435D"/>
    <w:rsid w:val="0022442C"/>
    <w:rsid w:val="002245B1"/>
    <w:rsid w:val="00224A1D"/>
    <w:rsid w:val="00225340"/>
    <w:rsid w:val="00226433"/>
    <w:rsid w:val="002269FF"/>
    <w:rsid w:val="002274F2"/>
    <w:rsid w:val="00227BE4"/>
    <w:rsid w:val="002303B3"/>
    <w:rsid w:val="00230D0C"/>
    <w:rsid w:val="00230EA4"/>
    <w:rsid w:val="002326BE"/>
    <w:rsid w:val="0023316C"/>
    <w:rsid w:val="002333EF"/>
    <w:rsid w:val="00233C0A"/>
    <w:rsid w:val="00233EA8"/>
    <w:rsid w:val="00233EE9"/>
    <w:rsid w:val="00235237"/>
    <w:rsid w:val="00235CCD"/>
    <w:rsid w:val="0023602F"/>
    <w:rsid w:val="00236048"/>
    <w:rsid w:val="002362ED"/>
    <w:rsid w:val="00237036"/>
    <w:rsid w:val="002372AC"/>
    <w:rsid w:val="00237A33"/>
    <w:rsid w:val="00240B0F"/>
    <w:rsid w:val="00240E54"/>
    <w:rsid w:val="00241314"/>
    <w:rsid w:val="00241B92"/>
    <w:rsid w:val="00241BD9"/>
    <w:rsid w:val="00242B67"/>
    <w:rsid w:val="00243381"/>
    <w:rsid w:val="00243EFD"/>
    <w:rsid w:val="002442A5"/>
    <w:rsid w:val="00244AF3"/>
    <w:rsid w:val="00244CB3"/>
    <w:rsid w:val="00244EFB"/>
    <w:rsid w:val="00245008"/>
    <w:rsid w:val="002451ED"/>
    <w:rsid w:val="0024561B"/>
    <w:rsid w:val="002458E4"/>
    <w:rsid w:val="00245DD0"/>
    <w:rsid w:val="00245DD8"/>
    <w:rsid w:val="002477EA"/>
    <w:rsid w:val="002506EE"/>
    <w:rsid w:val="00250E89"/>
    <w:rsid w:val="00252912"/>
    <w:rsid w:val="00252D49"/>
    <w:rsid w:val="00253C51"/>
    <w:rsid w:val="002548D3"/>
    <w:rsid w:val="0025568B"/>
    <w:rsid w:val="002561B7"/>
    <w:rsid w:val="00257054"/>
    <w:rsid w:val="00257131"/>
    <w:rsid w:val="002572D1"/>
    <w:rsid w:val="0025733E"/>
    <w:rsid w:val="00257F6B"/>
    <w:rsid w:val="002600E9"/>
    <w:rsid w:val="00260DC9"/>
    <w:rsid w:val="00261B4C"/>
    <w:rsid w:val="00261C50"/>
    <w:rsid w:val="00261DE4"/>
    <w:rsid w:val="00261E06"/>
    <w:rsid w:val="0026249A"/>
    <w:rsid w:val="002625B4"/>
    <w:rsid w:val="00263090"/>
    <w:rsid w:val="002640AD"/>
    <w:rsid w:val="0026452A"/>
    <w:rsid w:val="00264570"/>
    <w:rsid w:val="00264D98"/>
    <w:rsid w:val="00265054"/>
    <w:rsid w:val="0026523F"/>
    <w:rsid w:val="002659F4"/>
    <w:rsid w:val="0026696D"/>
    <w:rsid w:val="00266A00"/>
    <w:rsid w:val="00266BE6"/>
    <w:rsid w:val="00267127"/>
    <w:rsid w:val="00267325"/>
    <w:rsid w:val="00267935"/>
    <w:rsid w:val="002703AB"/>
    <w:rsid w:val="00270B8F"/>
    <w:rsid w:val="00271B39"/>
    <w:rsid w:val="00271CD9"/>
    <w:rsid w:val="0027313B"/>
    <w:rsid w:val="002731CD"/>
    <w:rsid w:val="00273CF6"/>
    <w:rsid w:val="00273F3E"/>
    <w:rsid w:val="00274F13"/>
    <w:rsid w:val="002752E7"/>
    <w:rsid w:val="00275388"/>
    <w:rsid w:val="00275567"/>
    <w:rsid w:val="00275D52"/>
    <w:rsid w:val="002763F5"/>
    <w:rsid w:val="00276536"/>
    <w:rsid w:val="00276BC6"/>
    <w:rsid w:val="0027723E"/>
    <w:rsid w:val="002772D9"/>
    <w:rsid w:val="002772EA"/>
    <w:rsid w:val="00277FDA"/>
    <w:rsid w:val="0028026F"/>
    <w:rsid w:val="0028028C"/>
    <w:rsid w:val="00280915"/>
    <w:rsid w:val="00280BAD"/>
    <w:rsid w:val="002812B8"/>
    <w:rsid w:val="002814FA"/>
    <w:rsid w:val="00281922"/>
    <w:rsid w:val="00281DA0"/>
    <w:rsid w:val="0028242D"/>
    <w:rsid w:val="00282D45"/>
    <w:rsid w:val="00283253"/>
    <w:rsid w:val="002836C6"/>
    <w:rsid w:val="0028615B"/>
    <w:rsid w:val="00286848"/>
    <w:rsid w:val="00286DFC"/>
    <w:rsid w:val="00287102"/>
    <w:rsid w:val="00290002"/>
    <w:rsid w:val="0029069C"/>
    <w:rsid w:val="002913B8"/>
    <w:rsid w:val="0029244F"/>
    <w:rsid w:val="0029328F"/>
    <w:rsid w:val="00293B82"/>
    <w:rsid w:val="00293DA4"/>
    <w:rsid w:val="002965D8"/>
    <w:rsid w:val="002A0381"/>
    <w:rsid w:val="002A0425"/>
    <w:rsid w:val="002A0651"/>
    <w:rsid w:val="002A06BD"/>
    <w:rsid w:val="002A11FB"/>
    <w:rsid w:val="002A120C"/>
    <w:rsid w:val="002A1891"/>
    <w:rsid w:val="002A1996"/>
    <w:rsid w:val="002A1F00"/>
    <w:rsid w:val="002A1F34"/>
    <w:rsid w:val="002A2185"/>
    <w:rsid w:val="002A21D9"/>
    <w:rsid w:val="002A334F"/>
    <w:rsid w:val="002A3F84"/>
    <w:rsid w:val="002A41C2"/>
    <w:rsid w:val="002A4C00"/>
    <w:rsid w:val="002A52CC"/>
    <w:rsid w:val="002A55AD"/>
    <w:rsid w:val="002A588A"/>
    <w:rsid w:val="002A58FF"/>
    <w:rsid w:val="002A5C6C"/>
    <w:rsid w:val="002A5FBD"/>
    <w:rsid w:val="002A6046"/>
    <w:rsid w:val="002A632B"/>
    <w:rsid w:val="002A6542"/>
    <w:rsid w:val="002A6C04"/>
    <w:rsid w:val="002A6E4D"/>
    <w:rsid w:val="002A7153"/>
    <w:rsid w:val="002A728A"/>
    <w:rsid w:val="002A7310"/>
    <w:rsid w:val="002A73C5"/>
    <w:rsid w:val="002A7D4F"/>
    <w:rsid w:val="002B011D"/>
    <w:rsid w:val="002B021E"/>
    <w:rsid w:val="002B0899"/>
    <w:rsid w:val="002B08F6"/>
    <w:rsid w:val="002B0FEF"/>
    <w:rsid w:val="002B2CF6"/>
    <w:rsid w:val="002B2E09"/>
    <w:rsid w:val="002B366D"/>
    <w:rsid w:val="002B3C7C"/>
    <w:rsid w:val="002B4B5E"/>
    <w:rsid w:val="002B4F70"/>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B4B"/>
    <w:rsid w:val="002C5EEF"/>
    <w:rsid w:val="002C6527"/>
    <w:rsid w:val="002C7D6D"/>
    <w:rsid w:val="002D13DF"/>
    <w:rsid w:val="002D195A"/>
    <w:rsid w:val="002D3B6B"/>
    <w:rsid w:val="002D41A4"/>
    <w:rsid w:val="002D603D"/>
    <w:rsid w:val="002D6332"/>
    <w:rsid w:val="002D7735"/>
    <w:rsid w:val="002D7FC5"/>
    <w:rsid w:val="002E00AD"/>
    <w:rsid w:val="002E032F"/>
    <w:rsid w:val="002E075F"/>
    <w:rsid w:val="002E08C1"/>
    <w:rsid w:val="002E0B56"/>
    <w:rsid w:val="002E0B5D"/>
    <w:rsid w:val="002E0B99"/>
    <w:rsid w:val="002E1650"/>
    <w:rsid w:val="002E1DA6"/>
    <w:rsid w:val="002E214F"/>
    <w:rsid w:val="002E24BD"/>
    <w:rsid w:val="002E27B9"/>
    <w:rsid w:val="002E3C98"/>
    <w:rsid w:val="002E4681"/>
    <w:rsid w:val="002E4D51"/>
    <w:rsid w:val="002E554F"/>
    <w:rsid w:val="002E57C9"/>
    <w:rsid w:val="002E6371"/>
    <w:rsid w:val="002E6740"/>
    <w:rsid w:val="002E6A58"/>
    <w:rsid w:val="002E6D98"/>
    <w:rsid w:val="002E7881"/>
    <w:rsid w:val="002E7975"/>
    <w:rsid w:val="002E7A31"/>
    <w:rsid w:val="002F01F2"/>
    <w:rsid w:val="002F0F57"/>
    <w:rsid w:val="002F11D5"/>
    <w:rsid w:val="002F2B63"/>
    <w:rsid w:val="002F3765"/>
    <w:rsid w:val="002F3D91"/>
    <w:rsid w:val="002F44A0"/>
    <w:rsid w:val="002F4F44"/>
    <w:rsid w:val="002F50DA"/>
    <w:rsid w:val="002F56B1"/>
    <w:rsid w:val="002F584B"/>
    <w:rsid w:val="002F5EEE"/>
    <w:rsid w:val="002F5FC3"/>
    <w:rsid w:val="002F6CC7"/>
    <w:rsid w:val="002F6EF2"/>
    <w:rsid w:val="002F79E2"/>
    <w:rsid w:val="002F7D39"/>
    <w:rsid w:val="002F7E4F"/>
    <w:rsid w:val="002F7E8D"/>
    <w:rsid w:val="003022E5"/>
    <w:rsid w:val="00302461"/>
    <w:rsid w:val="00302899"/>
    <w:rsid w:val="00302A04"/>
    <w:rsid w:val="003033D9"/>
    <w:rsid w:val="00303F98"/>
    <w:rsid w:val="00304338"/>
    <w:rsid w:val="003044F5"/>
    <w:rsid w:val="003051C9"/>
    <w:rsid w:val="00305782"/>
    <w:rsid w:val="00305C1F"/>
    <w:rsid w:val="00305D1D"/>
    <w:rsid w:val="00306448"/>
    <w:rsid w:val="00306B5E"/>
    <w:rsid w:val="0030700E"/>
    <w:rsid w:val="00307766"/>
    <w:rsid w:val="00307A2D"/>
    <w:rsid w:val="003100B2"/>
    <w:rsid w:val="00310D4B"/>
    <w:rsid w:val="00311161"/>
    <w:rsid w:val="003122A3"/>
    <w:rsid w:val="003130EA"/>
    <w:rsid w:val="003132C3"/>
    <w:rsid w:val="003137E8"/>
    <w:rsid w:val="00313A3B"/>
    <w:rsid w:val="00313BCE"/>
    <w:rsid w:val="00313E20"/>
    <w:rsid w:val="00314F5B"/>
    <w:rsid w:val="00314FA5"/>
    <w:rsid w:val="00315243"/>
    <w:rsid w:val="00315A94"/>
    <w:rsid w:val="003164FD"/>
    <w:rsid w:val="00316926"/>
    <w:rsid w:val="00317240"/>
    <w:rsid w:val="0031737C"/>
    <w:rsid w:val="00320073"/>
    <w:rsid w:val="003201A8"/>
    <w:rsid w:val="003203BF"/>
    <w:rsid w:val="00320626"/>
    <w:rsid w:val="00320DE9"/>
    <w:rsid w:val="003214C3"/>
    <w:rsid w:val="003214D6"/>
    <w:rsid w:val="003219DD"/>
    <w:rsid w:val="00321CC1"/>
    <w:rsid w:val="0032244E"/>
    <w:rsid w:val="003226A5"/>
    <w:rsid w:val="00323373"/>
    <w:rsid w:val="003242E5"/>
    <w:rsid w:val="00324DD8"/>
    <w:rsid w:val="00324F38"/>
    <w:rsid w:val="003256E0"/>
    <w:rsid w:val="00325E6C"/>
    <w:rsid w:val="00327114"/>
    <w:rsid w:val="003278F8"/>
    <w:rsid w:val="00327B3E"/>
    <w:rsid w:val="00327D2C"/>
    <w:rsid w:val="00327EA3"/>
    <w:rsid w:val="00330181"/>
    <w:rsid w:val="003308E0"/>
    <w:rsid w:val="00332227"/>
    <w:rsid w:val="00332486"/>
    <w:rsid w:val="0033321A"/>
    <w:rsid w:val="00333676"/>
    <w:rsid w:val="003336FD"/>
    <w:rsid w:val="00333A02"/>
    <w:rsid w:val="00333A55"/>
    <w:rsid w:val="00333D3B"/>
    <w:rsid w:val="00333E4C"/>
    <w:rsid w:val="00334224"/>
    <w:rsid w:val="0033425B"/>
    <w:rsid w:val="003342F6"/>
    <w:rsid w:val="00334680"/>
    <w:rsid w:val="00334DBC"/>
    <w:rsid w:val="003350A3"/>
    <w:rsid w:val="0033586C"/>
    <w:rsid w:val="00335EFB"/>
    <w:rsid w:val="003364EB"/>
    <w:rsid w:val="003374CB"/>
    <w:rsid w:val="00337D7C"/>
    <w:rsid w:val="00340405"/>
    <w:rsid w:val="00340445"/>
    <w:rsid w:val="00342098"/>
    <w:rsid w:val="00342BAE"/>
    <w:rsid w:val="003431F0"/>
    <w:rsid w:val="00344388"/>
    <w:rsid w:val="00345387"/>
    <w:rsid w:val="00345AD6"/>
    <w:rsid w:val="00345E2A"/>
    <w:rsid w:val="00345F25"/>
    <w:rsid w:val="00346772"/>
    <w:rsid w:val="00346E05"/>
    <w:rsid w:val="00350C97"/>
    <w:rsid w:val="00351F42"/>
    <w:rsid w:val="00352BC1"/>
    <w:rsid w:val="003536EE"/>
    <w:rsid w:val="00353939"/>
    <w:rsid w:val="00354882"/>
    <w:rsid w:val="00354E1D"/>
    <w:rsid w:val="00354FA4"/>
    <w:rsid w:val="00355855"/>
    <w:rsid w:val="003558FD"/>
    <w:rsid w:val="003571E8"/>
    <w:rsid w:val="0035749F"/>
    <w:rsid w:val="00357CBA"/>
    <w:rsid w:val="003602AF"/>
    <w:rsid w:val="003619E8"/>
    <w:rsid w:val="00361FC9"/>
    <w:rsid w:val="00363CCB"/>
    <w:rsid w:val="003640EA"/>
    <w:rsid w:val="003642A2"/>
    <w:rsid w:val="003646C5"/>
    <w:rsid w:val="00365006"/>
    <w:rsid w:val="00365258"/>
    <w:rsid w:val="00365ABF"/>
    <w:rsid w:val="003664D4"/>
    <w:rsid w:val="00366FA8"/>
    <w:rsid w:val="0037017C"/>
    <w:rsid w:val="003703D0"/>
    <w:rsid w:val="003706B3"/>
    <w:rsid w:val="003709F9"/>
    <w:rsid w:val="00372522"/>
    <w:rsid w:val="003728C9"/>
    <w:rsid w:val="00373353"/>
    <w:rsid w:val="00373923"/>
    <w:rsid w:val="003744B5"/>
    <w:rsid w:val="003745F2"/>
    <w:rsid w:val="00374BA5"/>
    <w:rsid w:val="003750DD"/>
    <w:rsid w:val="003756AA"/>
    <w:rsid w:val="0037593F"/>
    <w:rsid w:val="00376309"/>
    <w:rsid w:val="003773D2"/>
    <w:rsid w:val="00377942"/>
    <w:rsid w:val="00377B2A"/>
    <w:rsid w:val="00377D0B"/>
    <w:rsid w:val="003805AC"/>
    <w:rsid w:val="00380AE6"/>
    <w:rsid w:val="00381308"/>
    <w:rsid w:val="00381408"/>
    <w:rsid w:val="003814E4"/>
    <w:rsid w:val="00381578"/>
    <w:rsid w:val="003824ED"/>
    <w:rsid w:val="00382561"/>
    <w:rsid w:val="00382B9E"/>
    <w:rsid w:val="00382C17"/>
    <w:rsid w:val="0038318E"/>
    <w:rsid w:val="00383BA5"/>
    <w:rsid w:val="003843EC"/>
    <w:rsid w:val="00384585"/>
    <w:rsid w:val="003847A5"/>
    <w:rsid w:val="00385229"/>
    <w:rsid w:val="003853E7"/>
    <w:rsid w:val="00387884"/>
    <w:rsid w:val="00387F66"/>
    <w:rsid w:val="0039022F"/>
    <w:rsid w:val="0039048F"/>
    <w:rsid w:val="003909DB"/>
    <w:rsid w:val="00390B62"/>
    <w:rsid w:val="00391591"/>
    <w:rsid w:val="00391BDF"/>
    <w:rsid w:val="00392CF1"/>
    <w:rsid w:val="00393028"/>
    <w:rsid w:val="0039313E"/>
    <w:rsid w:val="003934F9"/>
    <w:rsid w:val="00393CB5"/>
    <w:rsid w:val="003947A1"/>
    <w:rsid w:val="00394848"/>
    <w:rsid w:val="00394A73"/>
    <w:rsid w:val="00394BD9"/>
    <w:rsid w:val="00394CBF"/>
    <w:rsid w:val="00394D1B"/>
    <w:rsid w:val="00394EA1"/>
    <w:rsid w:val="00395AE1"/>
    <w:rsid w:val="003960EC"/>
    <w:rsid w:val="0039729C"/>
    <w:rsid w:val="00397BFA"/>
    <w:rsid w:val="003A03CE"/>
    <w:rsid w:val="003A0BE4"/>
    <w:rsid w:val="003A1771"/>
    <w:rsid w:val="003A1BD8"/>
    <w:rsid w:val="003A1CDA"/>
    <w:rsid w:val="003A1D06"/>
    <w:rsid w:val="003A1F30"/>
    <w:rsid w:val="003A236B"/>
    <w:rsid w:val="003A268D"/>
    <w:rsid w:val="003A2908"/>
    <w:rsid w:val="003A394A"/>
    <w:rsid w:val="003A3C39"/>
    <w:rsid w:val="003A3CAC"/>
    <w:rsid w:val="003A3EFB"/>
    <w:rsid w:val="003A407A"/>
    <w:rsid w:val="003A44F3"/>
    <w:rsid w:val="003A574F"/>
    <w:rsid w:val="003A58D0"/>
    <w:rsid w:val="003A6FDB"/>
    <w:rsid w:val="003B01FA"/>
    <w:rsid w:val="003B0A1B"/>
    <w:rsid w:val="003B1B85"/>
    <w:rsid w:val="003B23AD"/>
    <w:rsid w:val="003B246D"/>
    <w:rsid w:val="003B2926"/>
    <w:rsid w:val="003B2EFD"/>
    <w:rsid w:val="003B3713"/>
    <w:rsid w:val="003B3AA5"/>
    <w:rsid w:val="003B445F"/>
    <w:rsid w:val="003B495A"/>
    <w:rsid w:val="003B4982"/>
    <w:rsid w:val="003B4B46"/>
    <w:rsid w:val="003B5C4E"/>
    <w:rsid w:val="003B65AB"/>
    <w:rsid w:val="003B6CFD"/>
    <w:rsid w:val="003B7115"/>
    <w:rsid w:val="003B77CE"/>
    <w:rsid w:val="003B7B4E"/>
    <w:rsid w:val="003C043F"/>
    <w:rsid w:val="003C053A"/>
    <w:rsid w:val="003C0812"/>
    <w:rsid w:val="003C0BD9"/>
    <w:rsid w:val="003C0DD9"/>
    <w:rsid w:val="003C1E4A"/>
    <w:rsid w:val="003C1F0B"/>
    <w:rsid w:val="003C2E11"/>
    <w:rsid w:val="003C3323"/>
    <w:rsid w:val="003C3359"/>
    <w:rsid w:val="003C3E94"/>
    <w:rsid w:val="003C44A5"/>
    <w:rsid w:val="003C4544"/>
    <w:rsid w:val="003C488F"/>
    <w:rsid w:val="003C4DA4"/>
    <w:rsid w:val="003C4E2E"/>
    <w:rsid w:val="003C5286"/>
    <w:rsid w:val="003C5B59"/>
    <w:rsid w:val="003C63D8"/>
    <w:rsid w:val="003C6619"/>
    <w:rsid w:val="003D06D4"/>
    <w:rsid w:val="003D08DD"/>
    <w:rsid w:val="003D16D0"/>
    <w:rsid w:val="003D27FB"/>
    <w:rsid w:val="003D35B0"/>
    <w:rsid w:val="003D3FDB"/>
    <w:rsid w:val="003D482D"/>
    <w:rsid w:val="003D53DC"/>
    <w:rsid w:val="003D589A"/>
    <w:rsid w:val="003D5A2F"/>
    <w:rsid w:val="003D647B"/>
    <w:rsid w:val="003D6826"/>
    <w:rsid w:val="003D6E2F"/>
    <w:rsid w:val="003D7964"/>
    <w:rsid w:val="003D7BA8"/>
    <w:rsid w:val="003D7DF8"/>
    <w:rsid w:val="003E0E08"/>
    <w:rsid w:val="003E1C2F"/>
    <w:rsid w:val="003E1EDB"/>
    <w:rsid w:val="003E2286"/>
    <w:rsid w:val="003E27AC"/>
    <w:rsid w:val="003E2AFF"/>
    <w:rsid w:val="003E2D32"/>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22F"/>
    <w:rsid w:val="003E7E77"/>
    <w:rsid w:val="003F0CC4"/>
    <w:rsid w:val="003F179E"/>
    <w:rsid w:val="003F1823"/>
    <w:rsid w:val="003F1DDF"/>
    <w:rsid w:val="003F1F28"/>
    <w:rsid w:val="003F253B"/>
    <w:rsid w:val="003F3ED0"/>
    <w:rsid w:val="003F447B"/>
    <w:rsid w:val="003F48D0"/>
    <w:rsid w:val="003F4F4B"/>
    <w:rsid w:val="003F50A1"/>
    <w:rsid w:val="003F5132"/>
    <w:rsid w:val="003F65B3"/>
    <w:rsid w:val="003F6B1B"/>
    <w:rsid w:val="003F6BA8"/>
    <w:rsid w:val="003F7D12"/>
    <w:rsid w:val="003F7F24"/>
    <w:rsid w:val="00400133"/>
    <w:rsid w:val="004004F2"/>
    <w:rsid w:val="0040061D"/>
    <w:rsid w:val="004009A7"/>
    <w:rsid w:val="00400A0B"/>
    <w:rsid w:val="00400A9F"/>
    <w:rsid w:val="00400AA9"/>
    <w:rsid w:val="00400D1B"/>
    <w:rsid w:val="004015AD"/>
    <w:rsid w:val="00401E65"/>
    <w:rsid w:val="00402593"/>
    <w:rsid w:val="004025F3"/>
    <w:rsid w:val="00402776"/>
    <w:rsid w:val="00402AB6"/>
    <w:rsid w:val="00402FEE"/>
    <w:rsid w:val="004030E9"/>
    <w:rsid w:val="00403343"/>
    <w:rsid w:val="004035B9"/>
    <w:rsid w:val="00403DA9"/>
    <w:rsid w:val="00404F25"/>
    <w:rsid w:val="00405A2A"/>
    <w:rsid w:val="00405AF2"/>
    <w:rsid w:val="00405C91"/>
    <w:rsid w:val="00405E73"/>
    <w:rsid w:val="004061A4"/>
    <w:rsid w:val="004061E0"/>
    <w:rsid w:val="0040632D"/>
    <w:rsid w:val="004077BD"/>
    <w:rsid w:val="00407B04"/>
    <w:rsid w:val="00407BC7"/>
    <w:rsid w:val="00407C5E"/>
    <w:rsid w:val="00410BE7"/>
    <w:rsid w:val="00410D26"/>
    <w:rsid w:val="0041105B"/>
    <w:rsid w:val="004124E8"/>
    <w:rsid w:val="00413625"/>
    <w:rsid w:val="00413661"/>
    <w:rsid w:val="00413BFD"/>
    <w:rsid w:val="004146C1"/>
    <w:rsid w:val="00414A4F"/>
    <w:rsid w:val="00415756"/>
    <w:rsid w:val="00415B9C"/>
    <w:rsid w:val="00415FC6"/>
    <w:rsid w:val="0041688D"/>
    <w:rsid w:val="004168DB"/>
    <w:rsid w:val="00416907"/>
    <w:rsid w:val="00416A9F"/>
    <w:rsid w:val="004170BB"/>
    <w:rsid w:val="00417D63"/>
    <w:rsid w:val="004201B7"/>
    <w:rsid w:val="00421FC0"/>
    <w:rsid w:val="00422A18"/>
    <w:rsid w:val="00422B01"/>
    <w:rsid w:val="00422C29"/>
    <w:rsid w:val="00423668"/>
    <w:rsid w:val="00423C36"/>
    <w:rsid w:val="004242E7"/>
    <w:rsid w:val="00424697"/>
    <w:rsid w:val="00424B8A"/>
    <w:rsid w:val="00424DD1"/>
    <w:rsid w:val="00425A62"/>
    <w:rsid w:val="00426433"/>
    <w:rsid w:val="00426B44"/>
    <w:rsid w:val="004274C8"/>
    <w:rsid w:val="004274CF"/>
    <w:rsid w:val="00427BF1"/>
    <w:rsid w:val="00430051"/>
    <w:rsid w:val="004303FE"/>
    <w:rsid w:val="004304D3"/>
    <w:rsid w:val="00430640"/>
    <w:rsid w:val="00430E30"/>
    <w:rsid w:val="00432AF7"/>
    <w:rsid w:val="004342A5"/>
    <w:rsid w:val="0043621F"/>
    <w:rsid w:val="00436AF4"/>
    <w:rsid w:val="00436D58"/>
    <w:rsid w:val="00437066"/>
    <w:rsid w:val="00437998"/>
    <w:rsid w:val="004379D3"/>
    <w:rsid w:val="004406D0"/>
    <w:rsid w:val="004407FB"/>
    <w:rsid w:val="00441233"/>
    <w:rsid w:val="0044149E"/>
    <w:rsid w:val="00441512"/>
    <w:rsid w:val="00441873"/>
    <w:rsid w:val="00441F5D"/>
    <w:rsid w:val="00442241"/>
    <w:rsid w:val="004424D0"/>
    <w:rsid w:val="00442D09"/>
    <w:rsid w:val="004434AB"/>
    <w:rsid w:val="00443DFB"/>
    <w:rsid w:val="0044427D"/>
    <w:rsid w:val="0044493B"/>
    <w:rsid w:val="00444C0A"/>
    <w:rsid w:val="00444CD2"/>
    <w:rsid w:val="0044510F"/>
    <w:rsid w:val="00445E9A"/>
    <w:rsid w:val="00446573"/>
    <w:rsid w:val="0044696A"/>
    <w:rsid w:val="004469FF"/>
    <w:rsid w:val="0045026B"/>
    <w:rsid w:val="004503FD"/>
    <w:rsid w:val="00450BA1"/>
    <w:rsid w:val="00450E38"/>
    <w:rsid w:val="0045124F"/>
    <w:rsid w:val="004515EC"/>
    <w:rsid w:val="0045181C"/>
    <w:rsid w:val="00451AE9"/>
    <w:rsid w:val="00451DFC"/>
    <w:rsid w:val="00453895"/>
    <w:rsid w:val="004540FE"/>
    <w:rsid w:val="00454176"/>
    <w:rsid w:val="004548A5"/>
    <w:rsid w:val="00454B0F"/>
    <w:rsid w:val="004553EB"/>
    <w:rsid w:val="00455D28"/>
    <w:rsid w:val="00455D9A"/>
    <w:rsid w:val="004562BC"/>
    <w:rsid w:val="004562F1"/>
    <w:rsid w:val="004567EA"/>
    <w:rsid w:val="00456A9B"/>
    <w:rsid w:val="0045708B"/>
    <w:rsid w:val="00460233"/>
    <w:rsid w:val="004619CC"/>
    <w:rsid w:val="00461A62"/>
    <w:rsid w:val="00461E36"/>
    <w:rsid w:val="0046392A"/>
    <w:rsid w:val="0046451D"/>
    <w:rsid w:val="00464A3F"/>
    <w:rsid w:val="00464A7E"/>
    <w:rsid w:val="004652F8"/>
    <w:rsid w:val="00465B3E"/>
    <w:rsid w:val="00465C0D"/>
    <w:rsid w:val="00465DED"/>
    <w:rsid w:val="004662D1"/>
    <w:rsid w:val="00466945"/>
    <w:rsid w:val="00466ED5"/>
    <w:rsid w:val="00467388"/>
    <w:rsid w:val="00470261"/>
    <w:rsid w:val="00470367"/>
    <w:rsid w:val="004705C5"/>
    <w:rsid w:val="00470934"/>
    <w:rsid w:val="00470AE5"/>
    <w:rsid w:val="0047124D"/>
    <w:rsid w:val="004717B7"/>
    <w:rsid w:val="00471CC8"/>
    <w:rsid w:val="00471F5C"/>
    <w:rsid w:val="00473546"/>
    <w:rsid w:val="0047365F"/>
    <w:rsid w:val="00474CD6"/>
    <w:rsid w:val="004751E7"/>
    <w:rsid w:val="0047562B"/>
    <w:rsid w:val="00475D1D"/>
    <w:rsid w:val="00477276"/>
    <w:rsid w:val="004776B9"/>
    <w:rsid w:val="00477C17"/>
    <w:rsid w:val="004813C6"/>
    <w:rsid w:val="004818F7"/>
    <w:rsid w:val="00481B7C"/>
    <w:rsid w:val="00482DF6"/>
    <w:rsid w:val="0048578C"/>
    <w:rsid w:val="00485872"/>
    <w:rsid w:val="00485EA4"/>
    <w:rsid w:val="004868AB"/>
    <w:rsid w:val="00486C08"/>
    <w:rsid w:val="0048757E"/>
    <w:rsid w:val="00487C54"/>
    <w:rsid w:val="00487F2E"/>
    <w:rsid w:val="00490561"/>
    <w:rsid w:val="0049059F"/>
    <w:rsid w:val="004926B9"/>
    <w:rsid w:val="00492CA8"/>
    <w:rsid w:val="00493018"/>
    <w:rsid w:val="004932D3"/>
    <w:rsid w:val="00493783"/>
    <w:rsid w:val="00493EFE"/>
    <w:rsid w:val="004940C3"/>
    <w:rsid w:val="004945B1"/>
    <w:rsid w:val="00494C12"/>
    <w:rsid w:val="0049511F"/>
    <w:rsid w:val="0049523D"/>
    <w:rsid w:val="00495625"/>
    <w:rsid w:val="00496420"/>
    <w:rsid w:val="00496B30"/>
    <w:rsid w:val="00496C58"/>
    <w:rsid w:val="004975A9"/>
    <w:rsid w:val="004977A8"/>
    <w:rsid w:val="00497E2B"/>
    <w:rsid w:val="004A002C"/>
    <w:rsid w:val="004A0AD0"/>
    <w:rsid w:val="004A0F14"/>
    <w:rsid w:val="004A1565"/>
    <w:rsid w:val="004A1D55"/>
    <w:rsid w:val="004A262B"/>
    <w:rsid w:val="004A2B58"/>
    <w:rsid w:val="004A2E82"/>
    <w:rsid w:val="004A3080"/>
    <w:rsid w:val="004A33CF"/>
    <w:rsid w:val="004A3D79"/>
    <w:rsid w:val="004A4862"/>
    <w:rsid w:val="004A4E10"/>
    <w:rsid w:val="004A565E"/>
    <w:rsid w:val="004A59A4"/>
    <w:rsid w:val="004A6E06"/>
    <w:rsid w:val="004A6E75"/>
    <w:rsid w:val="004A73C9"/>
    <w:rsid w:val="004A7475"/>
    <w:rsid w:val="004A7F95"/>
    <w:rsid w:val="004B261D"/>
    <w:rsid w:val="004B35DD"/>
    <w:rsid w:val="004B38D4"/>
    <w:rsid w:val="004B6062"/>
    <w:rsid w:val="004B7A5F"/>
    <w:rsid w:val="004B7F2B"/>
    <w:rsid w:val="004C067A"/>
    <w:rsid w:val="004C1447"/>
    <w:rsid w:val="004C262D"/>
    <w:rsid w:val="004C2758"/>
    <w:rsid w:val="004C3CB6"/>
    <w:rsid w:val="004C54EE"/>
    <w:rsid w:val="004C57D7"/>
    <w:rsid w:val="004C586A"/>
    <w:rsid w:val="004C6477"/>
    <w:rsid w:val="004C6F5B"/>
    <w:rsid w:val="004C7132"/>
    <w:rsid w:val="004C725E"/>
    <w:rsid w:val="004C73AB"/>
    <w:rsid w:val="004C77BC"/>
    <w:rsid w:val="004D032D"/>
    <w:rsid w:val="004D03B3"/>
    <w:rsid w:val="004D05E3"/>
    <w:rsid w:val="004D0729"/>
    <w:rsid w:val="004D07D8"/>
    <w:rsid w:val="004D10AE"/>
    <w:rsid w:val="004D176E"/>
    <w:rsid w:val="004D1F1A"/>
    <w:rsid w:val="004D241E"/>
    <w:rsid w:val="004D3409"/>
    <w:rsid w:val="004D36B7"/>
    <w:rsid w:val="004D411E"/>
    <w:rsid w:val="004D591C"/>
    <w:rsid w:val="004D5B92"/>
    <w:rsid w:val="004D5ED0"/>
    <w:rsid w:val="004D6A22"/>
    <w:rsid w:val="004D6CA1"/>
    <w:rsid w:val="004D6F8E"/>
    <w:rsid w:val="004D7070"/>
    <w:rsid w:val="004D7151"/>
    <w:rsid w:val="004D7D6F"/>
    <w:rsid w:val="004D7DAB"/>
    <w:rsid w:val="004E019A"/>
    <w:rsid w:val="004E05BE"/>
    <w:rsid w:val="004E0BF6"/>
    <w:rsid w:val="004E0D9C"/>
    <w:rsid w:val="004E10C4"/>
    <w:rsid w:val="004E1BC0"/>
    <w:rsid w:val="004E2860"/>
    <w:rsid w:val="004E290B"/>
    <w:rsid w:val="004E345A"/>
    <w:rsid w:val="004E3F06"/>
    <w:rsid w:val="004E4394"/>
    <w:rsid w:val="004E52D5"/>
    <w:rsid w:val="004E59C7"/>
    <w:rsid w:val="004E5C61"/>
    <w:rsid w:val="004E67CC"/>
    <w:rsid w:val="004E6BED"/>
    <w:rsid w:val="004F0090"/>
    <w:rsid w:val="004F0094"/>
    <w:rsid w:val="004F091C"/>
    <w:rsid w:val="004F10DF"/>
    <w:rsid w:val="004F1279"/>
    <w:rsid w:val="004F1DD7"/>
    <w:rsid w:val="004F266B"/>
    <w:rsid w:val="004F2CF9"/>
    <w:rsid w:val="004F3163"/>
    <w:rsid w:val="004F3E76"/>
    <w:rsid w:val="004F4097"/>
    <w:rsid w:val="004F4B8F"/>
    <w:rsid w:val="004F5901"/>
    <w:rsid w:val="004F59D0"/>
    <w:rsid w:val="004F5B1F"/>
    <w:rsid w:val="004F644E"/>
    <w:rsid w:val="004F76DE"/>
    <w:rsid w:val="004F797F"/>
    <w:rsid w:val="004F7E38"/>
    <w:rsid w:val="0050043A"/>
    <w:rsid w:val="00500875"/>
    <w:rsid w:val="00500F74"/>
    <w:rsid w:val="005011A8"/>
    <w:rsid w:val="0050193A"/>
    <w:rsid w:val="00501956"/>
    <w:rsid w:val="00501E03"/>
    <w:rsid w:val="00501E5A"/>
    <w:rsid w:val="00501EB7"/>
    <w:rsid w:val="00502668"/>
    <w:rsid w:val="0050276C"/>
    <w:rsid w:val="005027F7"/>
    <w:rsid w:val="0050367F"/>
    <w:rsid w:val="00503D58"/>
    <w:rsid w:val="00503E1C"/>
    <w:rsid w:val="00503FE5"/>
    <w:rsid w:val="00504068"/>
    <w:rsid w:val="00504889"/>
    <w:rsid w:val="005049EE"/>
    <w:rsid w:val="00504F17"/>
    <w:rsid w:val="00505297"/>
    <w:rsid w:val="0050563F"/>
    <w:rsid w:val="0050650A"/>
    <w:rsid w:val="00507045"/>
    <w:rsid w:val="00507643"/>
    <w:rsid w:val="00507FA4"/>
    <w:rsid w:val="005100BF"/>
    <w:rsid w:val="00510424"/>
    <w:rsid w:val="00510D49"/>
    <w:rsid w:val="0051105A"/>
    <w:rsid w:val="0051110D"/>
    <w:rsid w:val="00511D21"/>
    <w:rsid w:val="005120FE"/>
    <w:rsid w:val="00512690"/>
    <w:rsid w:val="00512B7A"/>
    <w:rsid w:val="00512CCA"/>
    <w:rsid w:val="00512EFD"/>
    <w:rsid w:val="005134DC"/>
    <w:rsid w:val="0051352C"/>
    <w:rsid w:val="00513896"/>
    <w:rsid w:val="00513998"/>
    <w:rsid w:val="0051453F"/>
    <w:rsid w:val="00514823"/>
    <w:rsid w:val="00514E08"/>
    <w:rsid w:val="00515523"/>
    <w:rsid w:val="00516294"/>
    <w:rsid w:val="00516640"/>
    <w:rsid w:val="00516987"/>
    <w:rsid w:val="00517097"/>
    <w:rsid w:val="00517439"/>
    <w:rsid w:val="005174ED"/>
    <w:rsid w:val="00517982"/>
    <w:rsid w:val="00517F8B"/>
    <w:rsid w:val="005202AA"/>
    <w:rsid w:val="00520894"/>
    <w:rsid w:val="00520A35"/>
    <w:rsid w:val="00521376"/>
    <w:rsid w:val="0052173E"/>
    <w:rsid w:val="00521B62"/>
    <w:rsid w:val="00521FE3"/>
    <w:rsid w:val="00522FA1"/>
    <w:rsid w:val="00523995"/>
    <w:rsid w:val="00523B53"/>
    <w:rsid w:val="00523BBD"/>
    <w:rsid w:val="0052405C"/>
    <w:rsid w:val="005241B2"/>
    <w:rsid w:val="00524351"/>
    <w:rsid w:val="00524414"/>
    <w:rsid w:val="005244D3"/>
    <w:rsid w:val="00524818"/>
    <w:rsid w:val="00524D1C"/>
    <w:rsid w:val="00524D26"/>
    <w:rsid w:val="00525027"/>
    <w:rsid w:val="005265E5"/>
    <w:rsid w:val="005266E1"/>
    <w:rsid w:val="00527307"/>
    <w:rsid w:val="00527637"/>
    <w:rsid w:val="00527E4A"/>
    <w:rsid w:val="00530122"/>
    <w:rsid w:val="00530202"/>
    <w:rsid w:val="00530617"/>
    <w:rsid w:val="00530B1B"/>
    <w:rsid w:val="005313D4"/>
    <w:rsid w:val="005316D5"/>
    <w:rsid w:val="00531C5E"/>
    <w:rsid w:val="00532A52"/>
    <w:rsid w:val="00532FBE"/>
    <w:rsid w:val="005337BE"/>
    <w:rsid w:val="005352B6"/>
    <w:rsid w:val="00535772"/>
    <w:rsid w:val="005360B6"/>
    <w:rsid w:val="00536139"/>
    <w:rsid w:val="0053616B"/>
    <w:rsid w:val="00536AB7"/>
    <w:rsid w:val="0053785A"/>
    <w:rsid w:val="00540796"/>
    <w:rsid w:val="005408EA"/>
    <w:rsid w:val="00540B90"/>
    <w:rsid w:val="00541618"/>
    <w:rsid w:val="005418F9"/>
    <w:rsid w:val="00541F2C"/>
    <w:rsid w:val="005422F4"/>
    <w:rsid w:val="005426BA"/>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47D3F"/>
    <w:rsid w:val="00550163"/>
    <w:rsid w:val="00550FF4"/>
    <w:rsid w:val="00551A35"/>
    <w:rsid w:val="00552287"/>
    <w:rsid w:val="005531EF"/>
    <w:rsid w:val="0055408C"/>
    <w:rsid w:val="00555289"/>
    <w:rsid w:val="00555AEF"/>
    <w:rsid w:val="00556504"/>
    <w:rsid w:val="00556DFE"/>
    <w:rsid w:val="0055788E"/>
    <w:rsid w:val="00557BE8"/>
    <w:rsid w:val="00560452"/>
    <w:rsid w:val="0056097F"/>
    <w:rsid w:val="00560E39"/>
    <w:rsid w:val="005622D6"/>
    <w:rsid w:val="00562AD4"/>
    <w:rsid w:val="00563583"/>
    <w:rsid w:val="005635DB"/>
    <w:rsid w:val="00563722"/>
    <w:rsid w:val="00563E78"/>
    <w:rsid w:val="00564CC4"/>
    <w:rsid w:val="00565126"/>
    <w:rsid w:val="0056554D"/>
    <w:rsid w:val="0056605B"/>
    <w:rsid w:val="005660CD"/>
    <w:rsid w:val="00566509"/>
    <w:rsid w:val="00566BEE"/>
    <w:rsid w:val="005677FA"/>
    <w:rsid w:val="005705DB"/>
    <w:rsid w:val="005709EF"/>
    <w:rsid w:val="0057109F"/>
    <w:rsid w:val="00571971"/>
    <w:rsid w:val="005721D9"/>
    <w:rsid w:val="00572770"/>
    <w:rsid w:val="00572A16"/>
    <w:rsid w:val="00572D02"/>
    <w:rsid w:val="005731E7"/>
    <w:rsid w:val="00573353"/>
    <w:rsid w:val="00573836"/>
    <w:rsid w:val="0057383F"/>
    <w:rsid w:val="00573880"/>
    <w:rsid w:val="00573C96"/>
    <w:rsid w:val="00574200"/>
    <w:rsid w:val="00574266"/>
    <w:rsid w:val="00574539"/>
    <w:rsid w:val="00574776"/>
    <w:rsid w:val="00574ADD"/>
    <w:rsid w:val="00574BF4"/>
    <w:rsid w:val="00575FD0"/>
    <w:rsid w:val="00576547"/>
    <w:rsid w:val="005766D7"/>
    <w:rsid w:val="00576ED0"/>
    <w:rsid w:val="00576F87"/>
    <w:rsid w:val="005800A3"/>
    <w:rsid w:val="00580E5C"/>
    <w:rsid w:val="00581587"/>
    <w:rsid w:val="00581F5A"/>
    <w:rsid w:val="00582B82"/>
    <w:rsid w:val="00582EF6"/>
    <w:rsid w:val="00583464"/>
    <w:rsid w:val="00583A9B"/>
    <w:rsid w:val="00585D80"/>
    <w:rsid w:val="00586A60"/>
    <w:rsid w:val="0058774E"/>
    <w:rsid w:val="00587847"/>
    <w:rsid w:val="00587868"/>
    <w:rsid w:val="00587E0C"/>
    <w:rsid w:val="00591025"/>
    <w:rsid w:val="00591555"/>
    <w:rsid w:val="00592E85"/>
    <w:rsid w:val="00592F69"/>
    <w:rsid w:val="00593557"/>
    <w:rsid w:val="005935DB"/>
    <w:rsid w:val="0059385F"/>
    <w:rsid w:val="005946F1"/>
    <w:rsid w:val="005953FD"/>
    <w:rsid w:val="00595BF2"/>
    <w:rsid w:val="00597E2F"/>
    <w:rsid w:val="005A02B7"/>
    <w:rsid w:val="005A07C9"/>
    <w:rsid w:val="005A10EF"/>
    <w:rsid w:val="005A12C1"/>
    <w:rsid w:val="005A12E3"/>
    <w:rsid w:val="005A1307"/>
    <w:rsid w:val="005A1548"/>
    <w:rsid w:val="005A1D55"/>
    <w:rsid w:val="005A371D"/>
    <w:rsid w:val="005A385F"/>
    <w:rsid w:val="005A4642"/>
    <w:rsid w:val="005A4851"/>
    <w:rsid w:val="005A4B6B"/>
    <w:rsid w:val="005A5344"/>
    <w:rsid w:val="005A579A"/>
    <w:rsid w:val="005A5C02"/>
    <w:rsid w:val="005A6614"/>
    <w:rsid w:val="005A66D1"/>
    <w:rsid w:val="005A708D"/>
    <w:rsid w:val="005A7559"/>
    <w:rsid w:val="005A7587"/>
    <w:rsid w:val="005A7A5A"/>
    <w:rsid w:val="005B1ADB"/>
    <w:rsid w:val="005B1C58"/>
    <w:rsid w:val="005B2A88"/>
    <w:rsid w:val="005B342A"/>
    <w:rsid w:val="005B37AA"/>
    <w:rsid w:val="005B4418"/>
    <w:rsid w:val="005B4B65"/>
    <w:rsid w:val="005B5529"/>
    <w:rsid w:val="005B645D"/>
    <w:rsid w:val="005B663F"/>
    <w:rsid w:val="005B6B95"/>
    <w:rsid w:val="005B6F4F"/>
    <w:rsid w:val="005B707A"/>
    <w:rsid w:val="005B7160"/>
    <w:rsid w:val="005B73A6"/>
    <w:rsid w:val="005B768C"/>
    <w:rsid w:val="005B7C61"/>
    <w:rsid w:val="005C0EE2"/>
    <w:rsid w:val="005C160D"/>
    <w:rsid w:val="005C1691"/>
    <w:rsid w:val="005C283A"/>
    <w:rsid w:val="005C33DE"/>
    <w:rsid w:val="005C3571"/>
    <w:rsid w:val="005C3983"/>
    <w:rsid w:val="005C3DAD"/>
    <w:rsid w:val="005C403A"/>
    <w:rsid w:val="005C4C1F"/>
    <w:rsid w:val="005C5F97"/>
    <w:rsid w:val="005C6799"/>
    <w:rsid w:val="005C6AC7"/>
    <w:rsid w:val="005C7036"/>
    <w:rsid w:val="005C7053"/>
    <w:rsid w:val="005D0181"/>
    <w:rsid w:val="005D1B22"/>
    <w:rsid w:val="005D1F87"/>
    <w:rsid w:val="005D247E"/>
    <w:rsid w:val="005D2797"/>
    <w:rsid w:val="005D2821"/>
    <w:rsid w:val="005D29AB"/>
    <w:rsid w:val="005D2AD9"/>
    <w:rsid w:val="005D383B"/>
    <w:rsid w:val="005D487B"/>
    <w:rsid w:val="005D569E"/>
    <w:rsid w:val="005D6A20"/>
    <w:rsid w:val="005D75A8"/>
    <w:rsid w:val="005D7F63"/>
    <w:rsid w:val="005D7FD7"/>
    <w:rsid w:val="005E0134"/>
    <w:rsid w:val="005E01D6"/>
    <w:rsid w:val="005E0D2C"/>
    <w:rsid w:val="005E0FBF"/>
    <w:rsid w:val="005E10AA"/>
    <w:rsid w:val="005E1A94"/>
    <w:rsid w:val="005E1E5E"/>
    <w:rsid w:val="005E2235"/>
    <w:rsid w:val="005E2578"/>
    <w:rsid w:val="005E2C82"/>
    <w:rsid w:val="005E320C"/>
    <w:rsid w:val="005E3644"/>
    <w:rsid w:val="005E43D7"/>
    <w:rsid w:val="005E43D9"/>
    <w:rsid w:val="005E4A78"/>
    <w:rsid w:val="005E4D2B"/>
    <w:rsid w:val="005E4DFD"/>
    <w:rsid w:val="005E4E92"/>
    <w:rsid w:val="005E5326"/>
    <w:rsid w:val="005E5E26"/>
    <w:rsid w:val="005E5F05"/>
    <w:rsid w:val="005E60DE"/>
    <w:rsid w:val="005E6788"/>
    <w:rsid w:val="005E778F"/>
    <w:rsid w:val="005E78C9"/>
    <w:rsid w:val="005E78D5"/>
    <w:rsid w:val="005F0DF2"/>
    <w:rsid w:val="005F1192"/>
    <w:rsid w:val="005F1569"/>
    <w:rsid w:val="005F1684"/>
    <w:rsid w:val="005F186F"/>
    <w:rsid w:val="005F2A09"/>
    <w:rsid w:val="005F354D"/>
    <w:rsid w:val="005F41E6"/>
    <w:rsid w:val="005F48E7"/>
    <w:rsid w:val="005F5C60"/>
    <w:rsid w:val="005F5D4D"/>
    <w:rsid w:val="005F65D7"/>
    <w:rsid w:val="005F6F37"/>
    <w:rsid w:val="005F7277"/>
    <w:rsid w:val="0060015E"/>
    <w:rsid w:val="00600FF2"/>
    <w:rsid w:val="0060107B"/>
    <w:rsid w:val="00601744"/>
    <w:rsid w:val="00601EEB"/>
    <w:rsid w:val="0060324A"/>
    <w:rsid w:val="00603B00"/>
    <w:rsid w:val="00604156"/>
    <w:rsid w:val="006041F6"/>
    <w:rsid w:val="00604586"/>
    <w:rsid w:val="00604591"/>
    <w:rsid w:val="00604A3E"/>
    <w:rsid w:val="00604E98"/>
    <w:rsid w:val="00605518"/>
    <w:rsid w:val="00605593"/>
    <w:rsid w:val="0060751C"/>
    <w:rsid w:val="00607D49"/>
    <w:rsid w:val="00607E9C"/>
    <w:rsid w:val="00610586"/>
    <w:rsid w:val="00610A0E"/>
    <w:rsid w:val="00611ED2"/>
    <w:rsid w:val="00611EE1"/>
    <w:rsid w:val="00613239"/>
    <w:rsid w:val="00614D9F"/>
    <w:rsid w:val="0061600A"/>
    <w:rsid w:val="00616417"/>
    <w:rsid w:val="0061657A"/>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7AAB"/>
    <w:rsid w:val="00627B99"/>
    <w:rsid w:val="00627E79"/>
    <w:rsid w:val="006300C1"/>
    <w:rsid w:val="006304B1"/>
    <w:rsid w:val="00631533"/>
    <w:rsid w:val="00631EC7"/>
    <w:rsid w:val="0063209E"/>
    <w:rsid w:val="006335B0"/>
    <w:rsid w:val="00633D19"/>
    <w:rsid w:val="00633D42"/>
    <w:rsid w:val="00634056"/>
    <w:rsid w:val="00634CAD"/>
    <w:rsid w:val="00634E82"/>
    <w:rsid w:val="006363FA"/>
    <w:rsid w:val="0063655E"/>
    <w:rsid w:val="00636979"/>
    <w:rsid w:val="00636B5D"/>
    <w:rsid w:val="006372D5"/>
    <w:rsid w:val="006379A7"/>
    <w:rsid w:val="00637EA1"/>
    <w:rsid w:val="00640237"/>
    <w:rsid w:val="00640F67"/>
    <w:rsid w:val="0064124F"/>
    <w:rsid w:val="00641AB6"/>
    <w:rsid w:val="00642173"/>
    <w:rsid w:val="00642997"/>
    <w:rsid w:val="00642BFD"/>
    <w:rsid w:val="006436D0"/>
    <w:rsid w:val="00643F7D"/>
    <w:rsid w:val="006453A3"/>
    <w:rsid w:val="00645BC8"/>
    <w:rsid w:val="00645DD3"/>
    <w:rsid w:val="0064650B"/>
    <w:rsid w:val="00646B2F"/>
    <w:rsid w:val="00646FF5"/>
    <w:rsid w:val="00647CD3"/>
    <w:rsid w:val="0065022E"/>
    <w:rsid w:val="0065047A"/>
    <w:rsid w:val="006510E7"/>
    <w:rsid w:val="00651D1E"/>
    <w:rsid w:val="006524CF"/>
    <w:rsid w:val="00652AB2"/>
    <w:rsid w:val="006532AB"/>
    <w:rsid w:val="006539B3"/>
    <w:rsid w:val="00653D97"/>
    <w:rsid w:val="00653DB2"/>
    <w:rsid w:val="00654F65"/>
    <w:rsid w:val="006556B0"/>
    <w:rsid w:val="0065588A"/>
    <w:rsid w:val="00655983"/>
    <w:rsid w:val="00656065"/>
    <w:rsid w:val="00656AE4"/>
    <w:rsid w:val="006571CF"/>
    <w:rsid w:val="0065748E"/>
    <w:rsid w:val="00657934"/>
    <w:rsid w:val="00657A63"/>
    <w:rsid w:val="006604AF"/>
    <w:rsid w:val="0066067A"/>
    <w:rsid w:val="006612B7"/>
    <w:rsid w:val="00661497"/>
    <w:rsid w:val="00661503"/>
    <w:rsid w:val="006617A5"/>
    <w:rsid w:val="00661EB0"/>
    <w:rsid w:val="0066235E"/>
    <w:rsid w:val="00662523"/>
    <w:rsid w:val="00662B0D"/>
    <w:rsid w:val="00663E53"/>
    <w:rsid w:val="006644CF"/>
    <w:rsid w:val="00666308"/>
    <w:rsid w:val="00666BB7"/>
    <w:rsid w:val="00666C4C"/>
    <w:rsid w:val="00667518"/>
    <w:rsid w:val="00670342"/>
    <w:rsid w:val="00670C82"/>
    <w:rsid w:val="00670D33"/>
    <w:rsid w:val="00671921"/>
    <w:rsid w:val="00671AFA"/>
    <w:rsid w:val="006722F6"/>
    <w:rsid w:val="006725F0"/>
    <w:rsid w:val="00672A00"/>
    <w:rsid w:val="0067332F"/>
    <w:rsid w:val="00674A25"/>
    <w:rsid w:val="00674DCE"/>
    <w:rsid w:val="00675104"/>
    <w:rsid w:val="006755EE"/>
    <w:rsid w:val="00675A8E"/>
    <w:rsid w:val="00675D1F"/>
    <w:rsid w:val="00676955"/>
    <w:rsid w:val="00676D3E"/>
    <w:rsid w:val="00677048"/>
    <w:rsid w:val="0068046C"/>
    <w:rsid w:val="006812C0"/>
    <w:rsid w:val="006817D3"/>
    <w:rsid w:val="00682313"/>
    <w:rsid w:val="006828B7"/>
    <w:rsid w:val="00683085"/>
    <w:rsid w:val="0068387C"/>
    <w:rsid w:val="00683942"/>
    <w:rsid w:val="00683ACE"/>
    <w:rsid w:val="00683E1A"/>
    <w:rsid w:val="0068574F"/>
    <w:rsid w:val="00686222"/>
    <w:rsid w:val="0068634C"/>
    <w:rsid w:val="00686C68"/>
    <w:rsid w:val="00686F04"/>
    <w:rsid w:val="00686F62"/>
    <w:rsid w:val="00687043"/>
    <w:rsid w:val="00690724"/>
    <w:rsid w:val="00690B64"/>
    <w:rsid w:val="00691F51"/>
    <w:rsid w:val="006922DF"/>
    <w:rsid w:val="00692328"/>
    <w:rsid w:val="0069241A"/>
    <w:rsid w:val="00693531"/>
    <w:rsid w:val="006935B9"/>
    <w:rsid w:val="00694848"/>
    <w:rsid w:val="00695224"/>
    <w:rsid w:val="00695257"/>
    <w:rsid w:val="006953B6"/>
    <w:rsid w:val="006959D4"/>
    <w:rsid w:val="00695AB8"/>
    <w:rsid w:val="00695AF5"/>
    <w:rsid w:val="00696290"/>
    <w:rsid w:val="00696667"/>
    <w:rsid w:val="00696EA4"/>
    <w:rsid w:val="00697A24"/>
    <w:rsid w:val="00697C1D"/>
    <w:rsid w:val="006A0902"/>
    <w:rsid w:val="006A0DC0"/>
    <w:rsid w:val="006A104A"/>
    <w:rsid w:val="006A158C"/>
    <w:rsid w:val="006A189A"/>
    <w:rsid w:val="006A1938"/>
    <w:rsid w:val="006A1BD9"/>
    <w:rsid w:val="006A1D13"/>
    <w:rsid w:val="006A20E5"/>
    <w:rsid w:val="006A231D"/>
    <w:rsid w:val="006A231F"/>
    <w:rsid w:val="006A256B"/>
    <w:rsid w:val="006A2F27"/>
    <w:rsid w:val="006A333F"/>
    <w:rsid w:val="006A33B2"/>
    <w:rsid w:val="006A38CC"/>
    <w:rsid w:val="006A4592"/>
    <w:rsid w:val="006A48DE"/>
    <w:rsid w:val="006A4A68"/>
    <w:rsid w:val="006A5013"/>
    <w:rsid w:val="006A5734"/>
    <w:rsid w:val="006A610B"/>
    <w:rsid w:val="006A6598"/>
    <w:rsid w:val="006A6C76"/>
    <w:rsid w:val="006A75E1"/>
    <w:rsid w:val="006A7DA2"/>
    <w:rsid w:val="006B09B1"/>
    <w:rsid w:val="006B1298"/>
    <w:rsid w:val="006B1923"/>
    <w:rsid w:val="006B1CFA"/>
    <w:rsid w:val="006B260C"/>
    <w:rsid w:val="006B2E18"/>
    <w:rsid w:val="006B3D4C"/>
    <w:rsid w:val="006B445B"/>
    <w:rsid w:val="006B541F"/>
    <w:rsid w:val="006B5DC9"/>
    <w:rsid w:val="006B65F2"/>
    <w:rsid w:val="006B66F8"/>
    <w:rsid w:val="006B6C8C"/>
    <w:rsid w:val="006B6CDF"/>
    <w:rsid w:val="006B71C3"/>
    <w:rsid w:val="006B7604"/>
    <w:rsid w:val="006B77FE"/>
    <w:rsid w:val="006B7A32"/>
    <w:rsid w:val="006C0088"/>
    <w:rsid w:val="006C01F1"/>
    <w:rsid w:val="006C0CC8"/>
    <w:rsid w:val="006C0EE3"/>
    <w:rsid w:val="006C1D0E"/>
    <w:rsid w:val="006C1E75"/>
    <w:rsid w:val="006C1FFC"/>
    <w:rsid w:val="006C2185"/>
    <w:rsid w:val="006C2192"/>
    <w:rsid w:val="006C2237"/>
    <w:rsid w:val="006C2A33"/>
    <w:rsid w:val="006C3391"/>
    <w:rsid w:val="006C3C53"/>
    <w:rsid w:val="006C3CBA"/>
    <w:rsid w:val="006C3E30"/>
    <w:rsid w:val="006C3E96"/>
    <w:rsid w:val="006C4AC7"/>
    <w:rsid w:val="006C511D"/>
    <w:rsid w:val="006C5552"/>
    <w:rsid w:val="006C5F50"/>
    <w:rsid w:val="006D0435"/>
    <w:rsid w:val="006D05EF"/>
    <w:rsid w:val="006D0878"/>
    <w:rsid w:val="006D0BDD"/>
    <w:rsid w:val="006D0CB8"/>
    <w:rsid w:val="006D0CDA"/>
    <w:rsid w:val="006D133B"/>
    <w:rsid w:val="006D150F"/>
    <w:rsid w:val="006D2028"/>
    <w:rsid w:val="006D2762"/>
    <w:rsid w:val="006D2A1D"/>
    <w:rsid w:val="006D32D2"/>
    <w:rsid w:val="006D33A7"/>
    <w:rsid w:val="006D41C9"/>
    <w:rsid w:val="006D5920"/>
    <w:rsid w:val="006D59CA"/>
    <w:rsid w:val="006D6A01"/>
    <w:rsid w:val="006D776D"/>
    <w:rsid w:val="006D7DAF"/>
    <w:rsid w:val="006D7E04"/>
    <w:rsid w:val="006E0126"/>
    <w:rsid w:val="006E0848"/>
    <w:rsid w:val="006E11AC"/>
    <w:rsid w:val="006E28B4"/>
    <w:rsid w:val="006E42A9"/>
    <w:rsid w:val="006E4C76"/>
    <w:rsid w:val="006E5C0D"/>
    <w:rsid w:val="006E67A9"/>
    <w:rsid w:val="006E6FF8"/>
    <w:rsid w:val="006E7584"/>
    <w:rsid w:val="006F0B48"/>
    <w:rsid w:val="006F1D0E"/>
    <w:rsid w:val="006F1F52"/>
    <w:rsid w:val="006F2368"/>
    <w:rsid w:val="006F2601"/>
    <w:rsid w:val="006F2B93"/>
    <w:rsid w:val="006F2C93"/>
    <w:rsid w:val="006F4258"/>
    <w:rsid w:val="006F4A3B"/>
    <w:rsid w:val="006F4B32"/>
    <w:rsid w:val="006F6278"/>
    <w:rsid w:val="006F6F4D"/>
    <w:rsid w:val="006F7BB8"/>
    <w:rsid w:val="0070066B"/>
    <w:rsid w:val="00701022"/>
    <w:rsid w:val="0070184D"/>
    <w:rsid w:val="00701ADD"/>
    <w:rsid w:val="00701DDF"/>
    <w:rsid w:val="00702247"/>
    <w:rsid w:val="007033F1"/>
    <w:rsid w:val="00704CBD"/>
    <w:rsid w:val="00705148"/>
    <w:rsid w:val="0070597A"/>
    <w:rsid w:val="007059E9"/>
    <w:rsid w:val="00705DC2"/>
    <w:rsid w:val="0070655B"/>
    <w:rsid w:val="00706FFC"/>
    <w:rsid w:val="00707536"/>
    <w:rsid w:val="00707A84"/>
    <w:rsid w:val="00707DE3"/>
    <w:rsid w:val="00710292"/>
    <w:rsid w:val="00714054"/>
    <w:rsid w:val="00714083"/>
    <w:rsid w:val="007157B2"/>
    <w:rsid w:val="00716097"/>
    <w:rsid w:val="00716559"/>
    <w:rsid w:val="00716825"/>
    <w:rsid w:val="007205F0"/>
    <w:rsid w:val="00720A0D"/>
    <w:rsid w:val="0072127E"/>
    <w:rsid w:val="007215B3"/>
    <w:rsid w:val="0072271B"/>
    <w:rsid w:val="007237D7"/>
    <w:rsid w:val="00723C90"/>
    <w:rsid w:val="0072460F"/>
    <w:rsid w:val="00724702"/>
    <w:rsid w:val="00724AD9"/>
    <w:rsid w:val="00725268"/>
    <w:rsid w:val="007258FF"/>
    <w:rsid w:val="00725968"/>
    <w:rsid w:val="00725CA4"/>
    <w:rsid w:val="00725EFC"/>
    <w:rsid w:val="007264FB"/>
    <w:rsid w:val="00727237"/>
    <w:rsid w:val="00730B23"/>
    <w:rsid w:val="00731614"/>
    <w:rsid w:val="007325D2"/>
    <w:rsid w:val="00732A5E"/>
    <w:rsid w:val="00732F1C"/>
    <w:rsid w:val="00733153"/>
    <w:rsid w:val="0073339B"/>
    <w:rsid w:val="00733B22"/>
    <w:rsid w:val="00733FF7"/>
    <w:rsid w:val="007356DE"/>
    <w:rsid w:val="00735C72"/>
    <w:rsid w:val="007367CA"/>
    <w:rsid w:val="00736C6D"/>
    <w:rsid w:val="007377B5"/>
    <w:rsid w:val="00737C0A"/>
    <w:rsid w:val="00740187"/>
    <w:rsid w:val="0074160D"/>
    <w:rsid w:val="00741C58"/>
    <w:rsid w:val="00741C5E"/>
    <w:rsid w:val="00743262"/>
    <w:rsid w:val="00744153"/>
    <w:rsid w:val="007444BF"/>
    <w:rsid w:val="007444FA"/>
    <w:rsid w:val="00744BE0"/>
    <w:rsid w:val="0074533B"/>
    <w:rsid w:val="00745374"/>
    <w:rsid w:val="00745BD2"/>
    <w:rsid w:val="00746164"/>
    <w:rsid w:val="007463BC"/>
    <w:rsid w:val="00746A22"/>
    <w:rsid w:val="00746AEF"/>
    <w:rsid w:val="00746F94"/>
    <w:rsid w:val="00746FB8"/>
    <w:rsid w:val="00747C97"/>
    <w:rsid w:val="00747CEF"/>
    <w:rsid w:val="0075028B"/>
    <w:rsid w:val="00750D85"/>
    <w:rsid w:val="00750D90"/>
    <w:rsid w:val="00751041"/>
    <w:rsid w:val="00751196"/>
    <w:rsid w:val="00751C20"/>
    <w:rsid w:val="00751F63"/>
    <w:rsid w:val="007529FC"/>
    <w:rsid w:val="00752B74"/>
    <w:rsid w:val="00752CDD"/>
    <w:rsid w:val="00752E07"/>
    <w:rsid w:val="00752FEA"/>
    <w:rsid w:val="00753B52"/>
    <w:rsid w:val="00753F35"/>
    <w:rsid w:val="0075447B"/>
    <w:rsid w:val="0075523F"/>
    <w:rsid w:val="00755530"/>
    <w:rsid w:val="00755A5C"/>
    <w:rsid w:val="00755E79"/>
    <w:rsid w:val="007566DE"/>
    <w:rsid w:val="00756F86"/>
    <w:rsid w:val="0075777A"/>
    <w:rsid w:val="0076013E"/>
    <w:rsid w:val="0076131E"/>
    <w:rsid w:val="007645ED"/>
    <w:rsid w:val="00765002"/>
    <w:rsid w:val="0076501C"/>
    <w:rsid w:val="00766293"/>
    <w:rsid w:val="007675F7"/>
    <w:rsid w:val="0077091F"/>
    <w:rsid w:val="00771266"/>
    <w:rsid w:val="00772036"/>
    <w:rsid w:val="0077203D"/>
    <w:rsid w:val="00772114"/>
    <w:rsid w:val="00772150"/>
    <w:rsid w:val="007721E3"/>
    <w:rsid w:val="00775850"/>
    <w:rsid w:val="00776534"/>
    <w:rsid w:val="007768AE"/>
    <w:rsid w:val="00776F7B"/>
    <w:rsid w:val="00777322"/>
    <w:rsid w:val="00777C1D"/>
    <w:rsid w:val="00777E1B"/>
    <w:rsid w:val="00780D57"/>
    <w:rsid w:val="00780F67"/>
    <w:rsid w:val="007811DE"/>
    <w:rsid w:val="007818C5"/>
    <w:rsid w:val="00781EF6"/>
    <w:rsid w:val="00781F40"/>
    <w:rsid w:val="00782BCF"/>
    <w:rsid w:val="00782CE7"/>
    <w:rsid w:val="00782F5F"/>
    <w:rsid w:val="00784306"/>
    <w:rsid w:val="00784450"/>
    <w:rsid w:val="00784DDD"/>
    <w:rsid w:val="00785434"/>
    <w:rsid w:val="007854AB"/>
    <w:rsid w:val="00785789"/>
    <w:rsid w:val="007857B5"/>
    <w:rsid w:val="00785ECF"/>
    <w:rsid w:val="00785F9C"/>
    <w:rsid w:val="00786820"/>
    <w:rsid w:val="00786D03"/>
    <w:rsid w:val="007874E8"/>
    <w:rsid w:val="00787A4E"/>
    <w:rsid w:val="00787E46"/>
    <w:rsid w:val="00790714"/>
    <w:rsid w:val="00790B36"/>
    <w:rsid w:val="00790C65"/>
    <w:rsid w:val="007914C4"/>
    <w:rsid w:val="007919AA"/>
    <w:rsid w:val="00792891"/>
    <w:rsid w:val="00794258"/>
    <w:rsid w:val="00794997"/>
    <w:rsid w:val="0079543C"/>
    <w:rsid w:val="00795707"/>
    <w:rsid w:val="007958A2"/>
    <w:rsid w:val="00795A32"/>
    <w:rsid w:val="00795C4E"/>
    <w:rsid w:val="007970DC"/>
    <w:rsid w:val="00797438"/>
    <w:rsid w:val="00797A25"/>
    <w:rsid w:val="00797EDC"/>
    <w:rsid w:val="007A03B1"/>
    <w:rsid w:val="007A0520"/>
    <w:rsid w:val="007A0605"/>
    <w:rsid w:val="007A0E19"/>
    <w:rsid w:val="007A0E2F"/>
    <w:rsid w:val="007A10E6"/>
    <w:rsid w:val="007A1136"/>
    <w:rsid w:val="007A241F"/>
    <w:rsid w:val="007A26FB"/>
    <w:rsid w:val="007A2E07"/>
    <w:rsid w:val="007A3506"/>
    <w:rsid w:val="007A4153"/>
    <w:rsid w:val="007A424B"/>
    <w:rsid w:val="007A46C9"/>
    <w:rsid w:val="007A4983"/>
    <w:rsid w:val="007A501A"/>
    <w:rsid w:val="007A530D"/>
    <w:rsid w:val="007A5CB7"/>
    <w:rsid w:val="007A5CE6"/>
    <w:rsid w:val="007A6113"/>
    <w:rsid w:val="007A6DFA"/>
    <w:rsid w:val="007A6F5D"/>
    <w:rsid w:val="007A7B86"/>
    <w:rsid w:val="007B1A47"/>
    <w:rsid w:val="007B1DED"/>
    <w:rsid w:val="007B2741"/>
    <w:rsid w:val="007B3EEC"/>
    <w:rsid w:val="007B3F83"/>
    <w:rsid w:val="007B3FFF"/>
    <w:rsid w:val="007B47BA"/>
    <w:rsid w:val="007B4B17"/>
    <w:rsid w:val="007B62F5"/>
    <w:rsid w:val="007B6B45"/>
    <w:rsid w:val="007B7A1F"/>
    <w:rsid w:val="007B7ACF"/>
    <w:rsid w:val="007C07D2"/>
    <w:rsid w:val="007C0C41"/>
    <w:rsid w:val="007C0E51"/>
    <w:rsid w:val="007C0F7B"/>
    <w:rsid w:val="007C12FC"/>
    <w:rsid w:val="007C1A56"/>
    <w:rsid w:val="007C1BD2"/>
    <w:rsid w:val="007C22A2"/>
    <w:rsid w:val="007C2322"/>
    <w:rsid w:val="007C2370"/>
    <w:rsid w:val="007C44C4"/>
    <w:rsid w:val="007C4B16"/>
    <w:rsid w:val="007C573D"/>
    <w:rsid w:val="007C5EB7"/>
    <w:rsid w:val="007D02AD"/>
    <w:rsid w:val="007D0368"/>
    <w:rsid w:val="007D04E6"/>
    <w:rsid w:val="007D06EE"/>
    <w:rsid w:val="007D0D57"/>
    <w:rsid w:val="007D1D33"/>
    <w:rsid w:val="007D2628"/>
    <w:rsid w:val="007D2656"/>
    <w:rsid w:val="007D27C9"/>
    <w:rsid w:val="007D2C1F"/>
    <w:rsid w:val="007D2D2D"/>
    <w:rsid w:val="007D3809"/>
    <w:rsid w:val="007D3ABD"/>
    <w:rsid w:val="007D3E32"/>
    <w:rsid w:val="007D3F81"/>
    <w:rsid w:val="007D45FE"/>
    <w:rsid w:val="007D4A85"/>
    <w:rsid w:val="007D4BBF"/>
    <w:rsid w:val="007D52F4"/>
    <w:rsid w:val="007D53E8"/>
    <w:rsid w:val="007D5CFE"/>
    <w:rsid w:val="007D5FFC"/>
    <w:rsid w:val="007D6907"/>
    <w:rsid w:val="007D723B"/>
    <w:rsid w:val="007D7965"/>
    <w:rsid w:val="007E03E4"/>
    <w:rsid w:val="007E0EDD"/>
    <w:rsid w:val="007E0F1F"/>
    <w:rsid w:val="007E1165"/>
    <w:rsid w:val="007E1EBF"/>
    <w:rsid w:val="007E21CA"/>
    <w:rsid w:val="007E24F9"/>
    <w:rsid w:val="007E2D10"/>
    <w:rsid w:val="007E31D2"/>
    <w:rsid w:val="007E3300"/>
    <w:rsid w:val="007E3601"/>
    <w:rsid w:val="007E3899"/>
    <w:rsid w:val="007E4431"/>
    <w:rsid w:val="007E479E"/>
    <w:rsid w:val="007E5533"/>
    <w:rsid w:val="007E5555"/>
    <w:rsid w:val="007E5691"/>
    <w:rsid w:val="007E56DD"/>
    <w:rsid w:val="007E5983"/>
    <w:rsid w:val="007E614B"/>
    <w:rsid w:val="007E6353"/>
    <w:rsid w:val="007E637E"/>
    <w:rsid w:val="007E7BB8"/>
    <w:rsid w:val="007E7BEA"/>
    <w:rsid w:val="007F0400"/>
    <w:rsid w:val="007F040C"/>
    <w:rsid w:val="007F0A9F"/>
    <w:rsid w:val="007F1B06"/>
    <w:rsid w:val="007F215B"/>
    <w:rsid w:val="007F2594"/>
    <w:rsid w:val="007F268D"/>
    <w:rsid w:val="007F2907"/>
    <w:rsid w:val="007F2930"/>
    <w:rsid w:val="007F2AD8"/>
    <w:rsid w:val="007F2BEA"/>
    <w:rsid w:val="007F3346"/>
    <w:rsid w:val="007F345B"/>
    <w:rsid w:val="007F36BA"/>
    <w:rsid w:val="007F3731"/>
    <w:rsid w:val="007F497F"/>
    <w:rsid w:val="007F5019"/>
    <w:rsid w:val="007F5124"/>
    <w:rsid w:val="007F53C0"/>
    <w:rsid w:val="007F577C"/>
    <w:rsid w:val="007F6AC2"/>
    <w:rsid w:val="00800F5C"/>
    <w:rsid w:val="00801AB1"/>
    <w:rsid w:val="00801EA6"/>
    <w:rsid w:val="00802C82"/>
    <w:rsid w:val="008033B8"/>
    <w:rsid w:val="008033C1"/>
    <w:rsid w:val="00803689"/>
    <w:rsid w:val="00803DDC"/>
    <w:rsid w:val="00803EBA"/>
    <w:rsid w:val="0080434A"/>
    <w:rsid w:val="0080498C"/>
    <w:rsid w:val="008049DB"/>
    <w:rsid w:val="0080557B"/>
    <w:rsid w:val="00805B7B"/>
    <w:rsid w:val="00805D34"/>
    <w:rsid w:val="00806393"/>
    <w:rsid w:val="00806D7C"/>
    <w:rsid w:val="00806FF0"/>
    <w:rsid w:val="00810A80"/>
    <w:rsid w:val="00811009"/>
    <w:rsid w:val="00812CAB"/>
    <w:rsid w:val="00812D0A"/>
    <w:rsid w:val="00813405"/>
    <w:rsid w:val="0081357E"/>
    <w:rsid w:val="00813C9D"/>
    <w:rsid w:val="00814F99"/>
    <w:rsid w:val="00815C51"/>
    <w:rsid w:val="00816BEF"/>
    <w:rsid w:val="0081722B"/>
    <w:rsid w:val="008179EA"/>
    <w:rsid w:val="00817F99"/>
    <w:rsid w:val="0082025A"/>
    <w:rsid w:val="00820DCE"/>
    <w:rsid w:val="00820DEF"/>
    <w:rsid w:val="008210EA"/>
    <w:rsid w:val="00821B46"/>
    <w:rsid w:val="008222AD"/>
    <w:rsid w:val="00822512"/>
    <w:rsid w:val="00822561"/>
    <w:rsid w:val="008225F9"/>
    <w:rsid w:val="00822D3C"/>
    <w:rsid w:val="00822FFE"/>
    <w:rsid w:val="00823691"/>
    <w:rsid w:val="008239AF"/>
    <w:rsid w:val="008254A4"/>
    <w:rsid w:val="008275A6"/>
    <w:rsid w:val="00827773"/>
    <w:rsid w:val="00827B06"/>
    <w:rsid w:val="00827E2A"/>
    <w:rsid w:val="00830148"/>
    <w:rsid w:val="00830AF2"/>
    <w:rsid w:val="00830BFC"/>
    <w:rsid w:val="00830EAB"/>
    <w:rsid w:val="008310D2"/>
    <w:rsid w:val="00831F24"/>
    <w:rsid w:val="008320E3"/>
    <w:rsid w:val="00832458"/>
    <w:rsid w:val="00832601"/>
    <w:rsid w:val="00832DD9"/>
    <w:rsid w:val="00832EE1"/>
    <w:rsid w:val="00833A00"/>
    <w:rsid w:val="0083687A"/>
    <w:rsid w:val="0083775C"/>
    <w:rsid w:val="008400CE"/>
    <w:rsid w:val="00841487"/>
    <w:rsid w:val="008415DF"/>
    <w:rsid w:val="0084170D"/>
    <w:rsid w:val="00841F99"/>
    <w:rsid w:val="0084293B"/>
    <w:rsid w:val="00842ACC"/>
    <w:rsid w:val="00842BD7"/>
    <w:rsid w:val="008430B9"/>
    <w:rsid w:val="00843A6E"/>
    <w:rsid w:val="008443F1"/>
    <w:rsid w:val="00844AC8"/>
    <w:rsid w:val="0084510F"/>
    <w:rsid w:val="0084544D"/>
    <w:rsid w:val="008454E1"/>
    <w:rsid w:val="00845E68"/>
    <w:rsid w:val="008460C4"/>
    <w:rsid w:val="008469B2"/>
    <w:rsid w:val="00847032"/>
    <w:rsid w:val="008472DB"/>
    <w:rsid w:val="008476CA"/>
    <w:rsid w:val="0084776B"/>
    <w:rsid w:val="00850E57"/>
    <w:rsid w:val="0085101E"/>
    <w:rsid w:val="00852470"/>
    <w:rsid w:val="008524EA"/>
    <w:rsid w:val="00852846"/>
    <w:rsid w:val="008538E8"/>
    <w:rsid w:val="00854CBF"/>
    <w:rsid w:val="00855CB8"/>
    <w:rsid w:val="00856618"/>
    <w:rsid w:val="008566CA"/>
    <w:rsid w:val="008568C5"/>
    <w:rsid w:val="0085699B"/>
    <w:rsid w:val="00856B2E"/>
    <w:rsid w:val="008576E8"/>
    <w:rsid w:val="00862342"/>
    <w:rsid w:val="00862708"/>
    <w:rsid w:val="00862D18"/>
    <w:rsid w:val="008632E4"/>
    <w:rsid w:val="008638FB"/>
    <w:rsid w:val="00864BA7"/>
    <w:rsid w:val="00864FA0"/>
    <w:rsid w:val="00864FD5"/>
    <w:rsid w:val="00867216"/>
    <w:rsid w:val="0086743B"/>
    <w:rsid w:val="0087014B"/>
    <w:rsid w:val="00870347"/>
    <w:rsid w:val="0087052B"/>
    <w:rsid w:val="008708C1"/>
    <w:rsid w:val="00870CEF"/>
    <w:rsid w:val="0087154B"/>
    <w:rsid w:val="00871579"/>
    <w:rsid w:val="00871B86"/>
    <w:rsid w:val="00872962"/>
    <w:rsid w:val="008729E8"/>
    <w:rsid w:val="00872D02"/>
    <w:rsid w:val="008731BF"/>
    <w:rsid w:val="0087367B"/>
    <w:rsid w:val="0087379B"/>
    <w:rsid w:val="00873A05"/>
    <w:rsid w:val="00873C79"/>
    <w:rsid w:val="008742B8"/>
    <w:rsid w:val="008745FB"/>
    <w:rsid w:val="00874903"/>
    <w:rsid w:val="00874AFA"/>
    <w:rsid w:val="00874BE6"/>
    <w:rsid w:val="00874BEF"/>
    <w:rsid w:val="00874C43"/>
    <w:rsid w:val="00875044"/>
    <w:rsid w:val="008752CF"/>
    <w:rsid w:val="008752D5"/>
    <w:rsid w:val="00875D1B"/>
    <w:rsid w:val="00876093"/>
    <w:rsid w:val="008774B2"/>
    <w:rsid w:val="0088119F"/>
    <w:rsid w:val="008815C0"/>
    <w:rsid w:val="0088250C"/>
    <w:rsid w:val="008832BB"/>
    <w:rsid w:val="00883477"/>
    <w:rsid w:val="00884182"/>
    <w:rsid w:val="008844CC"/>
    <w:rsid w:val="00884DE8"/>
    <w:rsid w:val="0088512A"/>
    <w:rsid w:val="00885B9F"/>
    <w:rsid w:val="00885F38"/>
    <w:rsid w:val="008864C3"/>
    <w:rsid w:val="00886B83"/>
    <w:rsid w:val="00887AA2"/>
    <w:rsid w:val="008900AB"/>
    <w:rsid w:val="00890CC0"/>
    <w:rsid w:val="00891630"/>
    <w:rsid w:val="008916E6"/>
    <w:rsid w:val="00891B0F"/>
    <w:rsid w:val="0089263D"/>
    <w:rsid w:val="008926B9"/>
    <w:rsid w:val="00892BD6"/>
    <w:rsid w:val="00892C69"/>
    <w:rsid w:val="00892CA6"/>
    <w:rsid w:val="00893562"/>
    <w:rsid w:val="008935B1"/>
    <w:rsid w:val="00894579"/>
    <w:rsid w:val="008959FD"/>
    <w:rsid w:val="00895C6B"/>
    <w:rsid w:val="00896D0A"/>
    <w:rsid w:val="0089751D"/>
    <w:rsid w:val="00897A46"/>
    <w:rsid w:val="00897F8F"/>
    <w:rsid w:val="008A0126"/>
    <w:rsid w:val="008A07C5"/>
    <w:rsid w:val="008A0954"/>
    <w:rsid w:val="008A0D61"/>
    <w:rsid w:val="008A241B"/>
    <w:rsid w:val="008A2A96"/>
    <w:rsid w:val="008A3F58"/>
    <w:rsid w:val="008A4D01"/>
    <w:rsid w:val="008A531F"/>
    <w:rsid w:val="008A596A"/>
    <w:rsid w:val="008A5DAC"/>
    <w:rsid w:val="008A636F"/>
    <w:rsid w:val="008A6F31"/>
    <w:rsid w:val="008A7065"/>
    <w:rsid w:val="008A78FE"/>
    <w:rsid w:val="008A79F4"/>
    <w:rsid w:val="008A7EC2"/>
    <w:rsid w:val="008B11DE"/>
    <w:rsid w:val="008B1807"/>
    <w:rsid w:val="008B2637"/>
    <w:rsid w:val="008B2706"/>
    <w:rsid w:val="008B2FB4"/>
    <w:rsid w:val="008B3114"/>
    <w:rsid w:val="008B319C"/>
    <w:rsid w:val="008B3E6B"/>
    <w:rsid w:val="008B4A88"/>
    <w:rsid w:val="008B5768"/>
    <w:rsid w:val="008B591C"/>
    <w:rsid w:val="008B5B1F"/>
    <w:rsid w:val="008B5F93"/>
    <w:rsid w:val="008B5FD5"/>
    <w:rsid w:val="008B63BB"/>
    <w:rsid w:val="008B65E7"/>
    <w:rsid w:val="008B6948"/>
    <w:rsid w:val="008B6DA0"/>
    <w:rsid w:val="008B6E0E"/>
    <w:rsid w:val="008B71AE"/>
    <w:rsid w:val="008B761D"/>
    <w:rsid w:val="008B7D5A"/>
    <w:rsid w:val="008C0190"/>
    <w:rsid w:val="008C01FF"/>
    <w:rsid w:val="008C0A9D"/>
    <w:rsid w:val="008C17E1"/>
    <w:rsid w:val="008C2E17"/>
    <w:rsid w:val="008C32C7"/>
    <w:rsid w:val="008C455A"/>
    <w:rsid w:val="008C4A4A"/>
    <w:rsid w:val="008C4CA8"/>
    <w:rsid w:val="008C4EDA"/>
    <w:rsid w:val="008C5305"/>
    <w:rsid w:val="008C5566"/>
    <w:rsid w:val="008C562A"/>
    <w:rsid w:val="008C5863"/>
    <w:rsid w:val="008C5A85"/>
    <w:rsid w:val="008C6D7A"/>
    <w:rsid w:val="008C7124"/>
    <w:rsid w:val="008C713E"/>
    <w:rsid w:val="008C76FE"/>
    <w:rsid w:val="008C7B9B"/>
    <w:rsid w:val="008D0D6B"/>
    <w:rsid w:val="008D0E73"/>
    <w:rsid w:val="008D0EAD"/>
    <w:rsid w:val="008D14B9"/>
    <w:rsid w:val="008D1648"/>
    <w:rsid w:val="008D2745"/>
    <w:rsid w:val="008D2A84"/>
    <w:rsid w:val="008D4D1D"/>
    <w:rsid w:val="008D5D67"/>
    <w:rsid w:val="008D5F2F"/>
    <w:rsid w:val="008D6448"/>
    <w:rsid w:val="008D7E7E"/>
    <w:rsid w:val="008E02FA"/>
    <w:rsid w:val="008E1922"/>
    <w:rsid w:val="008E1CD3"/>
    <w:rsid w:val="008E1F25"/>
    <w:rsid w:val="008E202D"/>
    <w:rsid w:val="008E27CB"/>
    <w:rsid w:val="008E2AE3"/>
    <w:rsid w:val="008E449D"/>
    <w:rsid w:val="008E57B4"/>
    <w:rsid w:val="008E58A8"/>
    <w:rsid w:val="008E5DD0"/>
    <w:rsid w:val="008E6374"/>
    <w:rsid w:val="008E6791"/>
    <w:rsid w:val="008E72A7"/>
    <w:rsid w:val="008E7C43"/>
    <w:rsid w:val="008F0134"/>
    <w:rsid w:val="008F04AE"/>
    <w:rsid w:val="008F0682"/>
    <w:rsid w:val="008F06E3"/>
    <w:rsid w:val="008F0D7F"/>
    <w:rsid w:val="008F247C"/>
    <w:rsid w:val="008F2C96"/>
    <w:rsid w:val="008F349F"/>
    <w:rsid w:val="008F3767"/>
    <w:rsid w:val="008F3AB4"/>
    <w:rsid w:val="008F432B"/>
    <w:rsid w:val="008F43F9"/>
    <w:rsid w:val="008F4452"/>
    <w:rsid w:val="008F4F69"/>
    <w:rsid w:val="008F4FFD"/>
    <w:rsid w:val="008F53DF"/>
    <w:rsid w:val="008F6E39"/>
    <w:rsid w:val="00900473"/>
    <w:rsid w:val="009005B3"/>
    <w:rsid w:val="00900ED9"/>
    <w:rsid w:val="009013F6"/>
    <w:rsid w:val="00901880"/>
    <w:rsid w:val="009018CE"/>
    <w:rsid w:val="00901BEE"/>
    <w:rsid w:val="00901D16"/>
    <w:rsid w:val="00901EB2"/>
    <w:rsid w:val="00902AA5"/>
    <w:rsid w:val="009044CE"/>
    <w:rsid w:val="00904F14"/>
    <w:rsid w:val="0090562E"/>
    <w:rsid w:val="00905A66"/>
    <w:rsid w:val="00905DB4"/>
    <w:rsid w:val="00906446"/>
    <w:rsid w:val="00906459"/>
    <w:rsid w:val="00906C94"/>
    <w:rsid w:val="00911100"/>
    <w:rsid w:val="009130F8"/>
    <w:rsid w:val="00913494"/>
    <w:rsid w:val="009134BC"/>
    <w:rsid w:val="00913699"/>
    <w:rsid w:val="00913C46"/>
    <w:rsid w:val="00913F80"/>
    <w:rsid w:val="009144AB"/>
    <w:rsid w:val="00914654"/>
    <w:rsid w:val="00914F50"/>
    <w:rsid w:val="009152A9"/>
    <w:rsid w:val="00915CC4"/>
    <w:rsid w:val="0091602F"/>
    <w:rsid w:val="00916161"/>
    <w:rsid w:val="00916292"/>
    <w:rsid w:val="00916BE3"/>
    <w:rsid w:val="009175C2"/>
    <w:rsid w:val="0091789A"/>
    <w:rsid w:val="00917BAD"/>
    <w:rsid w:val="00917D64"/>
    <w:rsid w:val="009201D9"/>
    <w:rsid w:val="009209BA"/>
    <w:rsid w:val="0092251C"/>
    <w:rsid w:val="009226C5"/>
    <w:rsid w:val="009229C9"/>
    <w:rsid w:val="0092357A"/>
    <w:rsid w:val="0092402B"/>
    <w:rsid w:val="00924588"/>
    <w:rsid w:val="00924A9F"/>
    <w:rsid w:val="00925042"/>
    <w:rsid w:val="009251E0"/>
    <w:rsid w:val="00925E8E"/>
    <w:rsid w:val="009269BD"/>
    <w:rsid w:val="00926AA3"/>
    <w:rsid w:val="009303D6"/>
    <w:rsid w:val="00930B44"/>
    <w:rsid w:val="00931225"/>
    <w:rsid w:val="0093126B"/>
    <w:rsid w:val="0093128F"/>
    <w:rsid w:val="00931CCE"/>
    <w:rsid w:val="00931D72"/>
    <w:rsid w:val="00932288"/>
    <w:rsid w:val="00932774"/>
    <w:rsid w:val="00933023"/>
    <w:rsid w:val="00933603"/>
    <w:rsid w:val="009350DA"/>
    <w:rsid w:val="0093570B"/>
    <w:rsid w:val="009357E4"/>
    <w:rsid w:val="009362C2"/>
    <w:rsid w:val="0093646B"/>
    <w:rsid w:val="00937522"/>
    <w:rsid w:val="0093791B"/>
    <w:rsid w:val="009401AB"/>
    <w:rsid w:val="00940D6C"/>
    <w:rsid w:val="00941303"/>
    <w:rsid w:val="0094165E"/>
    <w:rsid w:val="00941FD2"/>
    <w:rsid w:val="009429B6"/>
    <w:rsid w:val="009443AE"/>
    <w:rsid w:val="00944B51"/>
    <w:rsid w:val="00944BA6"/>
    <w:rsid w:val="00944CFB"/>
    <w:rsid w:val="00944F50"/>
    <w:rsid w:val="00945022"/>
    <w:rsid w:val="00945199"/>
    <w:rsid w:val="009457AA"/>
    <w:rsid w:val="00945A29"/>
    <w:rsid w:val="00945BA0"/>
    <w:rsid w:val="00946797"/>
    <w:rsid w:val="00946800"/>
    <w:rsid w:val="00946822"/>
    <w:rsid w:val="00947C03"/>
    <w:rsid w:val="009511EB"/>
    <w:rsid w:val="00951479"/>
    <w:rsid w:val="00951870"/>
    <w:rsid w:val="00951EE6"/>
    <w:rsid w:val="00952B25"/>
    <w:rsid w:val="0095390F"/>
    <w:rsid w:val="00953D69"/>
    <w:rsid w:val="00954226"/>
    <w:rsid w:val="00954658"/>
    <w:rsid w:val="00956153"/>
    <w:rsid w:val="009561B4"/>
    <w:rsid w:val="009565AE"/>
    <w:rsid w:val="00956AA3"/>
    <w:rsid w:val="009574B7"/>
    <w:rsid w:val="009605F6"/>
    <w:rsid w:val="009611D3"/>
    <w:rsid w:val="0096138E"/>
    <w:rsid w:val="0096171A"/>
    <w:rsid w:val="00962193"/>
    <w:rsid w:val="009627CF"/>
    <w:rsid w:val="00962A11"/>
    <w:rsid w:val="00962E7D"/>
    <w:rsid w:val="0096406A"/>
    <w:rsid w:val="00964A4F"/>
    <w:rsid w:val="00964D10"/>
    <w:rsid w:val="00965153"/>
    <w:rsid w:val="00965371"/>
    <w:rsid w:val="00965468"/>
    <w:rsid w:val="00965874"/>
    <w:rsid w:val="00965E71"/>
    <w:rsid w:val="009667F1"/>
    <w:rsid w:val="009668D3"/>
    <w:rsid w:val="009670C2"/>
    <w:rsid w:val="00970100"/>
    <w:rsid w:val="0097040B"/>
    <w:rsid w:val="00972177"/>
    <w:rsid w:val="00973222"/>
    <w:rsid w:val="00973DF4"/>
    <w:rsid w:val="00974624"/>
    <w:rsid w:val="00975087"/>
    <w:rsid w:val="00975C59"/>
    <w:rsid w:val="00975DEE"/>
    <w:rsid w:val="00976215"/>
    <w:rsid w:val="00976309"/>
    <w:rsid w:val="00976487"/>
    <w:rsid w:val="0097700C"/>
    <w:rsid w:val="009773D6"/>
    <w:rsid w:val="00977A8A"/>
    <w:rsid w:val="00977C0C"/>
    <w:rsid w:val="009808B3"/>
    <w:rsid w:val="0098149C"/>
    <w:rsid w:val="00982626"/>
    <w:rsid w:val="00982DCA"/>
    <w:rsid w:val="00983210"/>
    <w:rsid w:val="009833D1"/>
    <w:rsid w:val="0098376A"/>
    <w:rsid w:val="00983F50"/>
    <w:rsid w:val="0098413C"/>
    <w:rsid w:val="0098560B"/>
    <w:rsid w:val="0098605C"/>
    <w:rsid w:val="0098675C"/>
    <w:rsid w:val="00987290"/>
    <w:rsid w:val="009872EB"/>
    <w:rsid w:val="009876EE"/>
    <w:rsid w:val="00987AA2"/>
    <w:rsid w:val="00987B8C"/>
    <w:rsid w:val="00987CEE"/>
    <w:rsid w:val="00990C19"/>
    <w:rsid w:val="00991530"/>
    <w:rsid w:val="009916DA"/>
    <w:rsid w:val="00991D80"/>
    <w:rsid w:val="00991EA5"/>
    <w:rsid w:val="009920AC"/>
    <w:rsid w:val="00992B33"/>
    <w:rsid w:val="00993D2F"/>
    <w:rsid w:val="009945E8"/>
    <w:rsid w:val="00994FC7"/>
    <w:rsid w:val="009959BD"/>
    <w:rsid w:val="00995E92"/>
    <w:rsid w:val="00996363"/>
    <w:rsid w:val="009964CD"/>
    <w:rsid w:val="009967CE"/>
    <w:rsid w:val="00997309"/>
    <w:rsid w:val="00997DE4"/>
    <w:rsid w:val="009A0338"/>
    <w:rsid w:val="009A055F"/>
    <w:rsid w:val="009A0F7D"/>
    <w:rsid w:val="009A1344"/>
    <w:rsid w:val="009A1365"/>
    <w:rsid w:val="009A14FA"/>
    <w:rsid w:val="009A20BC"/>
    <w:rsid w:val="009A24FB"/>
    <w:rsid w:val="009A26E1"/>
    <w:rsid w:val="009A2CF1"/>
    <w:rsid w:val="009A363C"/>
    <w:rsid w:val="009A3C08"/>
    <w:rsid w:val="009A4A0D"/>
    <w:rsid w:val="009A4AA5"/>
    <w:rsid w:val="009A55FF"/>
    <w:rsid w:val="009A57CD"/>
    <w:rsid w:val="009A5D5A"/>
    <w:rsid w:val="009A5DEE"/>
    <w:rsid w:val="009A6277"/>
    <w:rsid w:val="009A6783"/>
    <w:rsid w:val="009A73C8"/>
    <w:rsid w:val="009A76E5"/>
    <w:rsid w:val="009A7788"/>
    <w:rsid w:val="009A7AFF"/>
    <w:rsid w:val="009A7D13"/>
    <w:rsid w:val="009B0472"/>
    <w:rsid w:val="009B0773"/>
    <w:rsid w:val="009B0DA6"/>
    <w:rsid w:val="009B1362"/>
    <w:rsid w:val="009B1A87"/>
    <w:rsid w:val="009B1B04"/>
    <w:rsid w:val="009B21EE"/>
    <w:rsid w:val="009B2247"/>
    <w:rsid w:val="009B2576"/>
    <w:rsid w:val="009B297F"/>
    <w:rsid w:val="009B298D"/>
    <w:rsid w:val="009B31C1"/>
    <w:rsid w:val="009B3D52"/>
    <w:rsid w:val="009B4548"/>
    <w:rsid w:val="009B4699"/>
    <w:rsid w:val="009B4E55"/>
    <w:rsid w:val="009B5487"/>
    <w:rsid w:val="009B55EE"/>
    <w:rsid w:val="009B5882"/>
    <w:rsid w:val="009B6644"/>
    <w:rsid w:val="009B69BA"/>
    <w:rsid w:val="009C0631"/>
    <w:rsid w:val="009C1008"/>
    <w:rsid w:val="009C1AFF"/>
    <w:rsid w:val="009C218C"/>
    <w:rsid w:val="009C21E3"/>
    <w:rsid w:val="009C222F"/>
    <w:rsid w:val="009C25F1"/>
    <w:rsid w:val="009C2C60"/>
    <w:rsid w:val="009C3B12"/>
    <w:rsid w:val="009C3EC8"/>
    <w:rsid w:val="009C4186"/>
    <w:rsid w:val="009C47F5"/>
    <w:rsid w:val="009C59C1"/>
    <w:rsid w:val="009C6134"/>
    <w:rsid w:val="009C7301"/>
    <w:rsid w:val="009C749C"/>
    <w:rsid w:val="009C788F"/>
    <w:rsid w:val="009C7ACB"/>
    <w:rsid w:val="009C7EF2"/>
    <w:rsid w:val="009D135A"/>
    <w:rsid w:val="009D16E4"/>
    <w:rsid w:val="009D1A50"/>
    <w:rsid w:val="009D2F15"/>
    <w:rsid w:val="009D321C"/>
    <w:rsid w:val="009D32F7"/>
    <w:rsid w:val="009D3F25"/>
    <w:rsid w:val="009D4A53"/>
    <w:rsid w:val="009D4B3F"/>
    <w:rsid w:val="009D500B"/>
    <w:rsid w:val="009D5228"/>
    <w:rsid w:val="009D57AF"/>
    <w:rsid w:val="009D5899"/>
    <w:rsid w:val="009D5EFF"/>
    <w:rsid w:val="009D60D2"/>
    <w:rsid w:val="009D648F"/>
    <w:rsid w:val="009D719E"/>
    <w:rsid w:val="009D737C"/>
    <w:rsid w:val="009D7683"/>
    <w:rsid w:val="009D7811"/>
    <w:rsid w:val="009D7E70"/>
    <w:rsid w:val="009D7EC6"/>
    <w:rsid w:val="009E0313"/>
    <w:rsid w:val="009E1C84"/>
    <w:rsid w:val="009E1E04"/>
    <w:rsid w:val="009E1FF9"/>
    <w:rsid w:val="009E4179"/>
    <w:rsid w:val="009E4732"/>
    <w:rsid w:val="009E59F4"/>
    <w:rsid w:val="009E5C5E"/>
    <w:rsid w:val="009E5D79"/>
    <w:rsid w:val="009E7266"/>
    <w:rsid w:val="009E7D74"/>
    <w:rsid w:val="009F0190"/>
    <w:rsid w:val="009F047C"/>
    <w:rsid w:val="009F0F0E"/>
    <w:rsid w:val="009F1217"/>
    <w:rsid w:val="009F1D5A"/>
    <w:rsid w:val="009F1DEF"/>
    <w:rsid w:val="009F2418"/>
    <w:rsid w:val="009F2588"/>
    <w:rsid w:val="009F36C5"/>
    <w:rsid w:val="009F3CE4"/>
    <w:rsid w:val="009F3D5F"/>
    <w:rsid w:val="009F51A2"/>
    <w:rsid w:val="009F5C1C"/>
    <w:rsid w:val="009F5F4C"/>
    <w:rsid w:val="009F6D94"/>
    <w:rsid w:val="009F7480"/>
    <w:rsid w:val="009F7689"/>
    <w:rsid w:val="00A00170"/>
    <w:rsid w:val="00A00BB2"/>
    <w:rsid w:val="00A013B0"/>
    <w:rsid w:val="00A017CD"/>
    <w:rsid w:val="00A01E51"/>
    <w:rsid w:val="00A04494"/>
    <w:rsid w:val="00A04EC8"/>
    <w:rsid w:val="00A0546E"/>
    <w:rsid w:val="00A0551C"/>
    <w:rsid w:val="00A05BB8"/>
    <w:rsid w:val="00A06295"/>
    <w:rsid w:val="00A06427"/>
    <w:rsid w:val="00A07156"/>
    <w:rsid w:val="00A076BA"/>
    <w:rsid w:val="00A121A7"/>
    <w:rsid w:val="00A12416"/>
    <w:rsid w:val="00A125BD"/>
    <w:rsid w:val="00A12C45"/>
    <w:rsid w:val="00A136C6"/>
    <w:rsid w:val="00A136CE"/>
    <w:rsid w:val="00A13755"/>
    <w:rsid w:val="00A13A89"/>
    <w:rsid w:val="00A13AA8"/>
    <w:rsid w:val="00A13FE3"/>
    <w:rsid w:val="00A14158"/>
    <w:rsid w:val="00A14256"/>
    <w:rsid w:val="00A146AA"/>
    <w:rsid w:val="00A14BAC"/>
    <w:rsid w:val="00A14D5C"/>
    <w:rsid w:val="00A154F9"/>
    <w:rsid w:val="00A15D6B"/>
    <w:rsid w:val="00A1666B"/>
    <w:rsid w:val="00A16DD2"/>
    <w:rsid w:val="00A16FBE"/>
    <w:rsid w:val="00A170A7"/>
    <w:rsid w:val="00A17BA4"/>
    <w:rsid w:val="00A207DC"/>
    <w:rsid w:val="00A20CEB"/>
    <w:rsid w:val="00A21118"/>
    <w:rsid w:val="00A22977"/>
    <w:rsid w:val="00A229E4"/>
    <w:rsid w:val="00A232E0"/>
    <w:rsid w:val="00A23A82"/>
    <w:rsid w:val="00A241F9"/>
    <w:rsid w:val="00A24437"/>
    <w:rsid w:val="00A252B6"/>
    <w:rsid w:val="00A25FFF"/>
    <w:rsid w:val="00A2607B"/>
    <w:rsid w:val="00A27980"/>
    <w:rsid w:val="00A27A38"/>
    <w:rsid w:val="00A27C3C"/>
    <w:rsid w:val="00A27D03"/>
    <w:rsid w:val="00A27DB4"/>
    <w:rsid w:val="00A303A5"/>
    <w:rsid w:val="00A30430"/>
    <w:rsid w:val="00A30E89"/>
    <w:rsid w:val="00A314A0"/>
    <w:rsid w:val="00A31ADE"/>
    <w:rsid w:val="00A31C7D"/>
    <w:rsid w:val="00A320DB"/>
    <w:rsid w:val="00A3249C"/>
    <w:rsid w:val="00A32A75"/>
    <w:rsid w:val="00A33C93"/>
    <w:rsid w:val="00A3410E"/>
    <w:rsid w:val="00A3522A"/>
    <w:rsid w:val="00A35ACD"/>
    <w:rsid w:val="00A35AFF"/>
    <w:rsid w:val="00A36A84"/>
    <w:rsid w:val="00A370B4"/>
    <w:rsid w:val="00A37836"/>
    <w:rsid w:val="00A406E6"/>
    <w:rsid w:val="00A41B17"/>
    <w:rsid w:val="00A421B2"/>
    <w:rsid w:val="00A4292D"/>
    <w:rsid w:val="00A42E17"/>
    <w:rsid w:val="00A4329A"/>
    <w:rsid w:val="00A4334A"/>
    <w:rsid w:val="00A43DB0"/>
    <w:rsid w:val="00A443E2"/>
    <w:rsid w:val="00A450A0"/>
    <w:rsid w:val="00A45961"/>
    <w:rsid w:val="00A45B2B"/>
    <w:rsid w:val="00A46B6F"/>
    <w:rsid w:val="00A4787F"/>
    <w:rsid w:val="00A47C6D"/>
    <w:rsid w:val="00A5091A"/>
    <w:rsid w:val="00A50E22"/>
    <w:rsid w:val="00A5145B"/>
    <w:rsid w:val="00A51586"/>
    <w:rsid w:val="00A52936"/>
    <w:rsid w:val="00A52EE9"/>
    <w:rsid w:val="00A53746"/>
    <w:rsid w:val="00A54141"/>
    <w:rsid w:val="00A541FD"/>
    <w:rsid w:val="00A54589"/>
    <w:rsid w:val="00A54811"/>
    <w:rsid w:val="00A54BD8"/>
    <w:rsid w:val="00A54CB9"/>
    <w:rsid w:val="00A551E5"/>
    <w:rsid w:val="00A55987"/>
    <w:rsid w:val="00A560B3"/>
    <w:rsid w:val="00A56340"/>
    <w:rsid w:val="00A565AC"/>
    <w:rsid w:val="00A57688"/>
    <w:rsid w:val="00A57A69"/>
    <w:rsid w:val="00A57F82"/>
    <w:rsid w:val="00A60351"/>
    <w:rsid w:val="00A607BD"/>
    <w:rsid w:val="00A608B7"/>
    <w:rsid w:val="00A60FE1"/>
    <w:rsid w:val="00A61836"/>
    <w:rsid w:val="00A61853"/>
    <w:rsid w:val="00A618C6"/>
    <w:rsid w:val="00A622E3"/>
    <w:rsid w:val="00A62436"/>
    <w:rsid w:val="00A62A4D"/>
    <w:rsid w:val="00A62CC5"/>
    <w:rsid w:val="00A6317B"/>
    <w:rsid w:val="00A63184"/>
    <w:rsid w:val="00A639B1"/>
    <w:rsid w:val="00A63A95"/>
    <w:rsid w:val="00A63DF1"/>
    <w:rsid w:val="00A6410C"/>
    <w:rsid w:val="00A6435A"/>
    <w:rsid w:val="00A647CD"/>
    <w:rsid w:val="00A6560B"/>
    <w:rsid w:val="00A65C42"/>
    <w:rsid w:val="00A65EF7"/>
    <w:rsid w:val="00A66396"/>
    <w:rsid w:val="00A671D1"/>
    <w:rsid w:val="00A67879"/>
    <w:rsid w:val="00A67EF5"/>
    <w:rsid w:val="00A7218B"/>
    <w:rsid w:val="00A7234D"/>
    <w:rsid w:val="00A72703"/>
    <w:rsid w:val="00A72852"/>
    <w:rsid w:val="00A72E28"/>
    <w:rsid w:val="00A732BA"/>
    <w:rsid w:val="00A74454"/>
    <w:rsid w:val="00A754DD"/>
    <w:rsid w:val="00A75510"/>
    <w:rsid w:val="00A75723"/>
    <w:rsid w:val="00A75E47"/>
    <w:rsid w:val="00A766AD"/>
    <w:rsid w:val="00A76961"/>
    <w:rsid w:val="00A76BFB"/>
    <w:rsid w:val="00A8122B"/>
    <w:rsid w:val="00A81726"/>
    <w:rsid w:val="00A81A20"/>
    <w:rsid w:val="00A81B8D"/>
    <w:rsid w:val="00A81EC8"/>
    <w:rsid w:val="00A82EDC"/>
    <w:rsid w:val="00A82F09"/>
    <w:rsid w:val="00A8326D"/>
    <w:rsid w:val="00A83DDC"/>
    <w:rsid w:val="00A83F37"/>
    <w:rsid w:val="00A84018"/>
    <w:rsid w:val="00A84AF3"/>
    <w:rsid w:val="00A84BED"/>
    <w:rsid w:val="00A8536F"/>
    <w:rsid w:val="00A85511"/>
    <w:rsid w:val="00A857C4"/>
    <w:rsid w:val="00A85CD9"/>
    <w:rsid w:val="00A85E27"/>
    <w:rsid w:val="00A86D6F"/>
    <w:rsid w:val="00A86E3E"/>
    <w:rsid w:val="00A87BAE"/>
    <w:rsid w:val="00A9015D"/>
    <w:rsid w:val="00A90976"/>
    <w:rsid w:val="00A90B03"/>
    <w:rsid w:val="00A913A1"/>
    <w:rsid w:val="00A91ACB"/>
    <w:rsid w:val="00A92584"/>
    <w:rsid w:val="00A925DB"/>
    <w:rsid w:val="00A93DC6"/>
    <w:rsid w:val="00A94354"/>
    <w:rsid w:val="00A94796"/>
    <w:rsid w:val="00A94CEF"/>
    <w:rsid w:val="00A9501F"/>
    <w:rsid w:val="00A951AC"/>
    <w:rsid w:val="00A951C2"/>
    <w:rsid w:val="00A95452"/>
    <w:rsid w:val="00A95EE0"/>
    <w:rsid w:val="00A96B79"/>
    <w:rsid w:val="00A96EF6"/>
    <w:rsid w:val="00A97CF6"/>
    <w:rsid w:val="00AA096E"/>
    <w:rsid w:val="00AA1293"/>
    <w:rsid w:val="00AA14C3"/>
    <w:rsid w:val="00AA188D"/>
    <w:rsid w:val="00AA3EDF"/>
    <w:rsid w:val="00AA4239"/>
    <w:rsid w:val="00AA4D46"/>
    <w:rsid w:val="00AA5361"/>
    <w:rsid w:val="00AA54AE"/>
    <w:rsid w:val="00AA6816"/>
    <w:rsid w:val="00AA69E5"/>
    <w:rsid w:val="00AA7322"/>
    <w:rsid w:val="00AA75CE"/>
    <w:rsid w:val="00AB023A"/>
    <w:rsid w:val="00AB0C43"/>
    <w:rsid w:val="00AB1098"/>
    <w:rsid w:val="00AB173C"/>
    <w:rsid w:val="00AB188D"/>
    <w:rsid w:val="00AB1B38"/>
    <w:rsid w:val="00AB217D"/>
    <w:rsid w:val="00AB2581"/>
    <w:rsid w:val="00AB2643"/>
    <w:rsid w:val="00AB27C6"/>
    <w:rsid w:val="00AB3031"/>
    <w:rsid w:val="00AB3379"/>
    <w:rsid w:val="00AB3F05"/>
    <w:rsid w:val="00AB4013"/>
    <w:rsid w:val="00AB462F"/>
    <w:rsid w:val="00AB4BB5"/>
    <w:rsid w:val="00AB4C0D"/>
    <w:rsid w:val="00AB557D"/>
    <w:rsid w:val="00AB6477"/>
    <w:rsid w:val="00AB6533"/>
    <w:rsid w:val="00AB689D"/>
    <w:rsid w:val="00AB6EB6"/>
    <w:rsid w:val="00AB7675"/>
    <w:rsid w:val="00AB7AA7"/>
    <w:rsid w:val="00AB7E48"/>
    <w:rsid w:val="00AC070D"/>
    <w:rsid w:val="00AC1A14"/>
    <w:rsid w:val="00AC2A94"/>
    <w:rsid w:val="00AC322C"/>
    <w:rsid w:val="00AC33E2"/>
    <w:rsid w:val="00AC3674"/>
    <w:rsid w:val="00AC4423"/>
    <w:rsid w:val="00AC4A20"/>
    <w:rsid w:val="00AC4FEA"/>
    <w:rsid w:val="00AC5213"/>
    <w:rsid w:val="00AC53F3"/>
    <w:rsid w:val="00AC56B3"/>
    <w:rsid w:val="00AC584E"/>
    <w:rsid w:val="00AC5B6E"/>
    <w:rsid w:val="00AC5E1A"/>
    <w:rsid w:val="00AC7B80"/>
    <w:rsid w:val="00AD0A32"/>
    <w:rsid w:val="00AD1442"/>
    <w:rsid w:val="00AD14AB"/>
    <w:rsid w:val="00AD1B73"/>
    <w:rsid w:val="00AD20ED"/>
    <w:rsid w:val="00AD20FA"/>
    <w:rsid w:val="00AD2CBD"/>
    <w:rsid w:val="00AD2DED"/>
    <w:rsid w:val="00AD2F04"/>
    <w:rsid w:val="00AD2FE7"/>
    <w:rsid w:val="00AD30DD"/>
    <w:rsid w:val="00AD39EF"/>
    <w:rsid w:val="00AD3BC2"/>
    <w:rsid w:val="00AD4264"/>
    <w:rsid w:val="00AD4434"/>
    <w:rsid w:val="00AD53AA"/>
    <w:rsid w:val="00AD72BC"/>
    <w:rsid w:val="00AD79BF"/>
    <w:rsid w:val="00AD7C84"/>
    <w:rsid w:val="00AE03CE"/>
    <w:rsid w:val="00AE07E1"/>
    <w:rsid w:val="00AE1170"/>
    <w:rsid w:val="00AE1D52"/>
    <w:rsid w:val="00AE2133"/>
    <w:rsid w:val="00AE2622"/>
    <w:rsid w:val="00AE43F4"/>
    <w:rsid w:val="00AE4550"/>
    <w:rsid w:val="00AE5099"/>
    <w:rsid w:val="00AE50D3"/>
    <w:rsid w:val="00AE597B"/>
    <w:rsid w:val="00AE5A64"/>
    <w:rsid w:val="00AE606A"/>
    <w:rsid w:val="00AE7312"/>
    <w:rsid w:val="00AF013B"/>
    <w:rsid w:val="00AF0A66"/>
    <w:rsid w:val="00AF0CF8"/>
    <w:rsid w:val="00AF218F"/>
    <w:rsid w:val="00AF262C"/>
    <w:rsid w:val="00AF381C"/>
    <w:rsid w:val="00AF415A"/>
    <w:rsid w:val="00AF4288"/>
    <w:rsid w:val="00AF44F2"/>
    <w:rsid w:val="00AF4950"/>
    <w:rsid w:val="00AF53AB"/>
    <w:rsid w:val="00AF53BA"/>
    <w:rsid w:val="00AF69B4"/>
    <w:rsid w:val="00AF717B"/>
    <w:rsid w:val="00B00415"/>
    <w:rsid w:val="00B00CD0"/>
    <w:rsid w:val="00B00D77"/>
    <w:rsid w:val="00B0117B"/>
    <w:rsid w:val="00B011BD"/>
    <w:rsid w:val="00B01283"/>
    <w:rsid w:val="00B0153C"/>
    <w:rsid w:val="00B02A46"/>
    <w:rsid w:val="00B035B9"/>
    <w:rsid w:val="00B03EBB"/>
    <w:rsid w:val="00B04DD4"/>
    <w:rsid w:val="00B0530B"/>
    <w:rsid w:val="00B05993"/>
    <w:rsid w:val="00B060CD"/>
    <w:rsid w:val="00B0686C"/>
    <w:rsid w:val="00B06E97"/>
    <w:rsid w:val="00B077F2"/>
    <w:rsid w:val="00B102AD"/>
    <w:rsid w:val="00B10681"/>
    <w:rsid w:val="00B10B50"/>
    <w:rsid w:val="00B116D4"/>
    <w:rsid w:val="00B1238A"/>
    <w:rsid w:val="00B134E7"/>
    <w:rsid w:val="00B13A79"/>
    <w:rsid w:val="00B14B59"/>
    <w:rsid w:val="00B14FC0"/>
    <w:rsid w:val="00B159F7"/>
    <w:rsid w:val="00B1649D"/>
    <w:rsid w:val="00B16524"/>
    <w:rsid w:val="00B165E7"/>
    <w:rsid w:val="00B16E86"/>
    <w:rsid w:val="00B17315"/>
    <w:rsid w:val="00B20364"/>
    <w:rsid w:val="00B20661"/>
    <w:rsid w:val="00B2130C"/>
    <w:rsid w:val="00B215D0"/>
    <w:rsid w:val="00B219ED"/>
    <w:rsid w:val="00B21EDE"/>
    <w:rsid w:val="00B226A9"/>
    <w:rsid w:val="00B2300D"/>
    <w:rsid w:val="00B230F6"/>
    <w:rsid w:val="00B23139"/>
    <w:rsid w:val="00B232D6"/>
    <w:rsid w:val="00B23368"/>
    <w:rsid w:val="00B23539"/>
    <w:rsid w:val="00B23551"/>
    <w:rsid w:val="00B24DC8"/>
    <w:rsid w:val="00B25335"/>
    <w:rsid w:val="00B2556A"/>
    <w:rsid w:val="00B25FA0"/>
    <w:rsid w:val="00B26391"/>
    <w:rsid w:val="00B26A06"/>
    <w:rsid w:val="00B27AD5"/>
    <w:rsid w:val="00B27F3D"/>
    <w:rsid w:val="00B30E74"/>
    <w:rsid w:val="00B3108F"/>
    <w:rsid w:val="00B3114E"/>
    <w:rsid w:val="00B3148D"/>
    <w:rsid w:val="00B31CC5"/>
    <w:rsid w:val="00B32AD4"/>
    <w:rsid w:val="00B3357B"/>
    <w:rsid w:val="00B33D79"/>
    <w:rsid w:val="00B33E3B"/>
    <w:rsid w:val="00B33F59"/>
    <w:rsid w:val="00B34483"/>
    <w:rsid w:val="00B34DAE"/>
    <w:rsid w:val="00B359E3"/>
    <w:rsid w:val="00B365CA"/>
    <w:rsid w:val="00B36CA1"/>
    <w:rsid w:val="00B379C8"/>
    <w:rsid w:val="00B40514"/>
    <w:rsid w:val="00B41014"/>
    <w:rsid w:val="00B41534"/>
    <w:rsid w:val="00B4154B"/>
    <w:rsid w:val="00B41784"/>
    <w:rsid w:val="00B42E68"/>
    <w:rsid w:val="00B43910"/>
    <w:rsid w:val="00B4420E"/>
    <w:rsid w:val="00B44DFC"/>
    <w:rsid w:val="00B45669"/>
    <w:rsid w:val="00B46554"/>
    <w:rsid w:val="00B466F0"/>
    <w:rsid w:val="00B467BB"/>
    <w:rsid w:val="00B47E3B"/>
    <w:rsid w:val="00B50892"/>
    <w:rsid w:val="00B511ED"/>
    <w:rsid w:val="00B51602"/>
    <w:rsid w:val="00B51F21"/>
    <w:rsid w:val="00B52540"/>
    <w:rsid w:val="00B5264A"/>
    <w:rsid w:val="00B53C34"/>
    <w:rsid w:val="00B53F0D"/>
    <w:rsid w:val="00B5455A"/>
    <w:rsid w:val="00B5657A"/>
    <w:rsid w:val="00B56B84"/>
    <w:rsid w:val="00B57961"/>
    <w:rsid w:val="00B57C56"/>
    <w:rsid w:val="00B60BE1"/>
    <w:rsid w:val="00B61614"/>
    <w:rsid w:val="00B61672"/>
    <w:rsid w:val="00B61B8F"/>
    <w:rsid w:val="00B61EEB"/>
    <w:rsid w:val="00B62488"/>
    <w:rsid w:val="00B628A4"/>
    <w:rsid w:val="00B62D2F"/>
    <w:rsid w:val="00B63293"/>
    <w:rsid w:val="00B64774"/>
    <w:rsid w:val="00B64B13"/>
    <w:rsid w:val="00B64D8D"/>
    <w:rsid w:val="00B64E06"/>
    <w:rsid w:val="00B65CB5"/>
    <w:rsid w:val="00B65D4A"/>
    <w:rsid w:val="00B668FC"/>
    <w:rsid w:val="00B66B65"/>
    <w:rsid w:val="00B70A11"/>
    <w:rsid w:val="00B70F06"/>
    <w:rsid w:val="00B70FEF"/>
    <w:rsid w:val="00B7145B"/>
    <w:rsid w:val="00B71881"/>
    <w:rsid w:val="00B718FB"/>
    <w:rsid w:val="00B721B5"/>
    <w:rsid w:val="00B728FD"/>
    <w:rsid w:val="00B72FA4"/>
    <w:rsid w:val="00B73290"/>
    <w:rsid w:val="00B7374F"/>
    <w:rsid w:val="00B74500"/>
    <w:rsid w:val="00B74AFB"/>
    <w:rsid w:val="00B7547E"/>
    <w:rsid w:val="00B754EA"/>
    <w:rsid w:val="00B75A04"/>
    <w:rsid w:val="00B7605A"/>
    <w:rsid w:val="00B768AD"/>
    <w:rsid w:val="00B76D77"/>
    <w:rsid w:val="00B7702D"/>
    <w:rsid w:val="00B774E3"/>
    <w:rsid w:val="00B7761D"/>
    <w:rsid w:val="00B77BCD"/>
    <w:rsid w:val="00B77E2A"/>
    <w:rsid w:val="00B8050E"/>
    <w:rsid w:val="00B80BF0"/>
    <w:rsid w:val="00B80E48"/>
    <w:rsid w:val="00B810CD"/>
    <w:rsid w:val="00B81196"/>
    <w:rsid w:val="00B81393"/>
    <w:rsid w:val="00B81607"/>
    <w:rsid w:val="00B81787"/>
    <w:rsid w:val="00B8280A"/>
    <w:rsid w:val="00B83638"/>
    <w:rsid w:val="00B839BC"/>
    <w:rsid w:val="00B84738"/>
    <w:rsid w:val="00B84B83"/>
    <w:rsid w:val="00B8517C"/>
    <w:rsid w:val="00B853F9"/>
    <w:rsid w:val="00B860D7"/>
    <w:rsid w:val="00B86158"/>
    <w:rsid w:val="00B868DC"/>
    <w:rsid w:val="00B92342"/>
    <w:rsid w:val="00B92412"/>
    <w:rsid w:val="00B92971"/>
    <w:rsid w:val="00B92D1A"/>
    <w:rsid w:val="00B93445"/>
    <w:rsid w:val="00B93720"/>
    <w:rsid w:val="00B938AB"/>
    <w:rsid w:val="00B939A1"/>
    <w:rsid w:val="00B93B87"/>
    <w:rsid w:val="00B9431E"/>
    <w:rsid w:val="00B9465D"/>
    <w:rsid w:val="00B9473D"/>
    <w:rsid w:val="00B94881"/>
    <w:rsid w:val="00B9517B"/>
    <w:rsid w:val="00B954D6"/>
    <w:rsid w:val="00B95517"/>
    <w:rsid w:val="00B95C12"/>
    <w:rsid w:val="00B961F1"/>
    <w:rsid w:val="00B96885"/>
    <w:rsid w:val="00B96C4E"/>
    <w:rsid w:val="00B973E7"/>
    <w:rsid w:val="00B979CC"/>
    <w:rsid w:val="00B97C50"/>
    <w:rsid w:val="00BA0AC7"/>
    <w:rsid w:val="00BA1434"/>
    <w:rsid w:val="00BA261C"/>
    <w:rsid w:val="00BA3212"/>
    <w:rsid w:val="00BA3B4B"/>
    <w:rsid w:val="00BA40BE"/>
    <w:rsid w:val="00BA467B"/>
    <w:rsid w:val="00BA4D41"/>
    <w:rsid w:val="00BA57F5"/>
    <w:rsid w:val="00BA58BB"/>
    <w:rsid w:val="00BA67FC"/>
    <w:rsid w:val="00BA6B8E"/>
    <w:rsid w:val="00BA6C85"/>
    <w:rsid w:val="00BA70FF"/>
    <w:rsid w:val="00BA711E"/>
    <w:rsid w:val="00BA7285"/>
    <w:rsid w:val="00BA7BE8"/>
    <w:rsid w:val="00BB08F7"/>
    <w:rsid w:val="00BB0BA7"/>
    <w:rsid w:val="00BB0CA1"/>
    <w:rsid w:val="00BB133D"/>
    <w:rsid w:val="00BB1924"/>
    <w:rsid w:val="00BB2616"/>
    <w:rsid w:val="00BB26EB"/>
    <w:rsid w:val="00BB2C15"/>
    <w:rsid w:val="00BB37AA"/>
    <w:rsid w:val="00BB3C8A"/>
    <w:rsid w:val="00BB4049"/>
    <w:rsid w:val="00BB5E0A"/>
    <w:rsid w:val="00BB7AF7"/>
    <w:rsid w:val="00BC00C1"/>
    <w:rsid w:val="00BC0230"/>
    <w:rsid w:val="00BC0688"/>
    <w:rsid w:val="00BC11B0"/>
    <w:rsid w:val="00BC1478"/>
    <w:rsid w:val="00BC1BFE"/>
    <w:rsid w:val="00BC1EF2"/>
    <w:rsid w:val="00BC2264"/>
    <w:rsid w:val="00BC2C3A"/>
    <w:rsid w:val="00BC358A"/>
    <w:rsid w:val="00BC3982"/>
    <w:rsid w:val="00BC3B6C"/>
    <w:rsid w:val="00BC3CE2"/>
    <w:rsid w:val="00BC3E3B"/>
    <w:rsid w:val="00BC52DE"/>
    <w:rsid w:val="00BC69C6"/>
    <w:rsid w:val="00BC6BFD"/>
    <w:rsid w:val="00BC7956"/>
    <w:rsid w:val="00BD0288"/>
    <w:rsid w:val="00BD02E6"/>
    <w:rsid w:val="00BD065D"/>
    <w:rsid w:val="00BD0B23"/>
    <w:rsid w:val="00BD0CF8"/>
    <w:rsid w:val="00BD0DDA"/>
    <w:rsid w:val="00BD1469"/>
    <w:rsid w:val="00BD154F"/>
    <w:rsid w:val="00BD1AFC"/>
    <w:rsid w:val="00BD1E2C"/>
    <w:rsid w:val="00BD1FF6"/>
    <w:rsid w:val="00BD2256"/>
    <w:rsid w:val="00BD24B6"/>
    <w:rsid w:val="00BD3080"/>
    <w:rsid w:val="00BD3124"/>
    <w:rsid w:val="00BD316A"/>
    <w:rsid w:val="00BD33EC"/>
    <w:rsid w:val="00BD3A94"/>
    <w:rsid w:val="00BD49DE"/>
    <w:rsid w:val="00BD4CF5"/>
    <w:rsid w:val="00BD5C38"/>
    <w:rsid w:val="00BD661C"/>
    <w:rsid w:val="00BD6C08"/>
    <w:rsid w:val="00BD72A6"/>
    <w:rsid w:val="00BD762F"/>
    <w:rsid w:val="00BD7A8E"/>
    <w:rsid w:val="00BD7D70"/>
    <w:rsid w:val="00BE0529"/>
    <w:rsid w:val="00BE09C7"/>
    <w:rsid w:val="00BE12EF"/>
    <w:rsid w:val="00BE1AA5"/>
    <w:rsid w:val="00BE1BBB"/>
    <w:rsid w:val="00BE2ACB"/>
    <w:rsid w:val="00BE3013"/>
    <w:rsid w:val="00BE367D"/>
    <w:rsid w:val="00BE3CB6"/>
    <w:rsid w:val="00BE4035"/>
    <w:rsid w:val="00BE4239"/>
    <w:rsid w:val="00BE4A58"/>
    <w:rsid w:val="00BE4B70"/>
    <w:rsid w:val="00BE4C67"/>
    <w:rsid w:val="00BE5120"/>
    <w:rsid w:val="00BE5756"/>
    <w:rsid w:val="00BE576D"/>
    <w:rsid w:val="00BE59E5"/>
    <w:rsid w:val="00BE64BF"/>
    <w:rsid w:val="00BE654A"/>
    <w:rsid w:val="00BE6653"/>
    <w:rsid w:val="00BE6B77"/>
    <w:rsid w:val="00BE7783"/>
    <w:rsid w:val="00BE7B46"/>
    <w:rsid w:val="00BF02D4"/>
    <w:rsid w:val="00BF0724"/>
    <w:rsid w:val="00BF15B9"/>
    <w:rsid w:val="00BF1896"/>
    <w:rsid w:val="00BF324E"/>
    <w:rsid w:val="00BF329F"/>
    <w:rsid w:val="00BF3D79"/>
    <w:rsid w:val="00BF3DDC"/>
    <w:rsid w:val="00BF4038"/>
    <w:rsid w:val="00BF4674"/>
    <w:rsid w:val="00BF47B7"/>
    <w:rsid w:val="00BF5020"/>
    <w:rsid w:val="00BF55BA"/>
    <w:rsid w:val="00BF58F2"/>
    <w:rsid w:val="00BF590D"/>
    <w:rsid w:val="00BF63BD"/>
    <w:rsid w:val="00BF6637"/>
    <w:rsid w:val="00BF756C"/>
    <w:rsid w:val="00BF7870"/>
    <w:rsid w:val="00BF794A"/>
    <w:rsid w:val="00BF7E92"/>
    <w:rsid w:val="00C00D9E"/>
    <w:rsid w:val="00C017D4"/>
    <w:rsid w:val="00C023E0"/>
    <w:rsid w:val="00C024DF"/>
    <w:rsid w:val="00C028F9"/>
    <w:rsid w:val="00C02F52"/>
    <w:rsid w:val="00C0308D"/>
    <w:rsid w:val="00C035A7"/>
    <w:rsid w:val="00C0387C"/>
    <w:rsid w:val="00C04A2A"/>
    <w:rsid w:val="00C04FA3"/>
    <w:rsid w:val="00C051F1"/>
    <w:rsid w:val="00C05216"/>
    <w:rsid w:val="00C05754"/>
    <w:rsid w:val="00C0586E"/>
    <w:rsid w:val="00C05C1A"/>
    <w:rsid w:val="00C05F6F"/>
    <w:rsid w:val="00C06021"/>
    <w:rsid w:val="00C06091"/>
    <w:rsid w:val="00C06AFA"/>
    <w:rsid w:val="00C06BCC"/>
    <w:rsid w:val="00C077A9"/>
    <w:rsid w:val="00C10D34"/>
    <w:rsid w:val="00C11612"/>
    <w:rsid w:val="00C11B8C"/>
    <w:rsid w:val="00C12101"/>
    <w:rsid w:val="00C1230F"/>
    <w:rsid w:val="00C12EC3"/>
    <w:rsid w:val="00C13810"/>
    <w:rsid w:val="00C13934"/>
    <w:rsid w:val="00C13B21"/>
    <w:rsid w:val="00C14234"/>
    <w:rsid w:val="00C14C9F"/>
    <w:rsid w:val="00C155CC"/>
    <w:rsid w:val="00C15941"/>
    <w:rsid w:val="00C15A4A"/>
    <w:rsid w:val="00C160D1"/>
    <w:rsid w:val="00C168BD"/>
    <w:rsid w:val="00C16E20"/>
    <w:rsid w:val="00C16F02"/>
    <w:rsid w:val="00C170CD"/>
    <w:rsid w:val="00C2047B"/>
    <w:rsid w:val="00C20A4F"/>
    <w:rsid w:val="00C215BB"/>
    <w:rsid w:val="00C21801"/>
    <w:rsid w:val="00C2304D"/>
    <w:rsid w:val="00C236EB"/>
    <w:rsid w:val="00C23BE9"/>
    <w:rsid w:val="00C24016"/>
    <w:rsid w:val="00C24904"/>
    <w:rsid w:val="00C2541E"/>
    <w:rsid w:val="00C25F86"/>
    <w:rsid w:val="00C2649C"/>
    <w:rsid w:val="00C26623"/>
    <w:rsid w:val="00C26685"/>
    <w:rsid w:val="00C268C0"/>
    <w:rsid w:val="00C26D74"/>
    <w:rsid w:val="00C2701E"/>
    <w:rsid w:val="00C2748B"/>
    <w:rsid w:val="00C27850"/>
    <w:rsid w:val="00C30824"/>
    <w:rsid w:val="00C30AA8"/>
    <w:rsid w:val="00C30F87"/>
    <w:rsid w:val="00C31BF8"/>
    <w:rsid w:val="00C3273C"/>
    <w:rsid w:val="00C3307F"/>
    <w:rsid w:val="00C33F77"/>
    <w:rsid w:val="00C348FF"/>
    <w:rsid w:val="00C34CC3"/>
    <w:rsid w:val="00C34F30"/>
    <w:rsid w:val="00C363E7"/>
    <w:rsid w:val="00C3640A"/>
    <w:rsid w:val="00C36F96"/>
    <w:rsid w:val="00C37086"/>
    <w:rsid w:val="00C3796D"/>
    <w:rsid w:val="00C4057F"/>
    <w:rsid w:val="00C40753"/>
    <w:rsid w:val="00C40815"/>
    <w:rsid w:val="00C40B89"/>
    <w:rsid w:val="00C40B90"/>
    <w:rsid w:val="00C41BEB"/>
    <w:rsid w:val="00C427A2"/>
    <w:rsid w:val="00C42E64"/>
    <w:rsid w:val="00C438A2"/>
    <w:rsid w:val="00C43C61"/>
    <w:rsid w:val="00C441C2"/>
    <w:rsid w:val="00C4421D"/>
    <w:rsid w:val="00C47B24"/>
    <w:rsid w:val="00C50040"/>
    <w:rsid w:val="00C507A3"/>
    <w:rsid w:val="00C511FE"/>
    <w:rsid w:val="00C5183A"/>
    <w:rsid w:val="00C51B9C"/>
    <w:rsid w:val="00C51BEC"/>
    <w:rsid w:val="00C521AE"/>
    <w:rsid w:val="00C52B13"/>
    <w:rsid w:val="00C53591"/>
    <w:rsid w:val="00C547CC"/>
    <w:rsid w:val="00C54A87"/>
    <w:rsid w:val="00C55428"/>
    <w:rsid w:val="00C55DE1"/>
    <w:rsid w:val="00C56373"/>
    <w:rsid w:val="00C56A7A"/>
    <w:rsid w:val="00C56BC5"/>
    <w:rsid w:val="00C57185"/>
    <w:rsid w:val="00C572FF"/>
    <w:rsid w:val="00C57683"/>
    <w:rsid w:val="00C57991"/>
    <w:rsid w:val="00C60B64"/>
    <w:rsid w:val="00C60D23"/>
    <w:rsid w:val="00C615B8"/>
    <w:rsid w:val="00C61AFD"/>
    <w:rsid w:val="00C62D67"/>
    <w:rsid w:val="00C633BA"/>
    <w:rsid w:val="00C6356B"/>
    <w:rsid w:val="00C652E2"/>
    <w:rsid w:val="00C653FB"/>
    <w:rsid w:val="00C65CBF"/>
    <w:rsid w:val="00C66375"/>
    <w:rsid w:val="00C667D0"/>
    <w:rsid w:val="00C66AD7"/>
    <w:rsid w:val="00C66E3C"/>
    <w:rsid w:val="00C67EA5"/>
    <w:rsid w:val="00C70107"/>
    <w:rsid w:val="00C70E36"/>
    <w:rsid w:val="00C71279"/>
    <w:rsid w:val="00C71351"/>
    <w:rsid w:val="00C71A08"/>
    <w:rsid w:val="00C72625"/>
    <w:rsid w:val="00C7271D"/>
    <w:rsid w:val="00C72B6C"/>
    <w:rsid w:val="00C73FAB"/>
    <w:rsid w:val="00C747DA"/>
    <w:rsid w:val="00C74CF6"/>
    <w:rsid w:val="00C75062"/>
    <w:rsid w:val="00C75A01"/>
    <w:rsid w:val="00C75BCA"/>
    <w:rsid w:val="00C75C66"/>
    <w:rsid w:val="00C75DB6"/>
    <w:rsid w:val="00C76E04"/>
    <w:rsid w:val="00C76FB0"/>
    <w:rsid w:val="00C81278"/>
    <w:rsid w:val="00C81A2C"/>
    <w:rsid w:val="00C81E27"/>
    <w:rsid w:val="00C82647"/>
    <w:rsid w:val="00C8285E"/>
    <w:rsid w:val="00C82F2D"/>
    <w:rsid w:val="00C83260"/>
    <w:rsid w:val="00C836F0"/>
    <w:rsid w:val="00C8398B"/>
    <w:rsid w:val="00C84318"/>
    <w:rsid w:val="00C856BE"/>
    <w:rsid w:val="00C85F2C"/>
    <w:rsid w:val="00C8734C"/>
    <w:rsid w:val="00C87388"/>
    <w:rsid w:val="00C87A9E"/>
    <w:rsid w:val="00C91633"/>
    <w:rsid w:val="00C9382C"/>
    <w:rsid w:val="00C94C71"/>
    <w:rsid w:val="00C94F15"/>
    <w:rsid w:val="00C954BD"/>
    <w:rsid w:val="00C95615"/>
    <w:rsid w:val="00C97517"/>
    <w:rsid w:val="00C97CC0"/>
    <w:rsid w:val="00C97D75"/>
    <w:rsid w:val="00CA0261"/>
    <w:rsid w:val="00CA04BA"/>
    <w:rsid w:val="00CA136D"/>
    <w:rsid w:val="00CA147B"/>
    <w:rsid w:val="00CA1DF5"/>
    <w:rsid w:val="00CA2400"/>
    <w:rsid w:val="00CA24A1"/>
    <w:rsid w:val="00CA2D7A"/>
    <w:rsid w:val="00CA41B5"/>
    <w:rsid w:val="00CA47F5"/>
    <w:rsid w:val="00CA4CA2"/>
    <w:rsid w:val="00CA5103"/>
    <w:rsid w:val="00CA5368"/>
    <w:rsid w:val="00CA6310"/>
    <w:rsid w:val="00CA6FE5"/>
    <w:rsid w:val="00CA7B88"/>
    <w:rsid w:val="00CB0113"/>
    <w:rsid w:val="00CB058C"/>
    <w:rsid w:val="00CB0BE4"/>
    <w:rsid w:val="00CB0DD0"/>
    <w:rsid w:val="00CB121D"/>
    <w:rsid w:val="00CB14A4"/>
    <w:rsid w:val="00CB2CCA"/>
    <w:rsid w:val="00CB30D0"/>
    <w:rsid w:val="00CB3502"/>
    <w:rsid w:val="00CB37A5"/>
    <w:rsid w:val="00CB3C01"/>
    <w:rsid w:val="00CB3EBC"/>
    <w:rsid w:val="00CB44B7"/>
    <w:rsid w:val="00CB493B"/>
    <w:rsid w:val="00CB4EC9"/>
    <w:rsid w:val="00CB5187"/>
    <w:rsid w:val="00CB5256"/>
    <w:rsid w:val="00CB570A"/>
    <w:rsid w:val="00CB679C"/>
    <w:rsid w:val="00CB6A84"/>
    <w:rsid w:val="00CB6A85"/>
    <w:rsid w:val="00CB7121"/>
    <w:rsid w:val="00CB7364"/>
    <w:rsid w:val="00CB768E"/>
    <w:rsid w:val="00CB7B4A"/>
    <w:rsid w:val="00CB7C4A"/>
    <w:rsid w:val="00CB7ECC"/>
    <w:rsid w:val="00CC0B1E"/>
    <w:rsid w:val="00CC0C76"/>
    <w:rsid w:val="00CC1475"/>
    <w:rsid w:val="00CC1DED"/>
    <w:rsid w:val="00CC319E"/>
    <w:rsid w:val="00CC340A"/>
    <w:rsid w:val="00CC36E9"/>
    <w:rsid w:val="00CC597B"/>
    <w:rsid w:val="00CC5AA0"/>
    <w:rsid w:val="00CC669A"/>
    <w:rsid w:val="00CC75B6"/>
    <w:rsid w:val="00CC779B"/>
    <w:rsid w:val="00CD0261"/>
    <w:rsid w:val="00CD28B2"/>
    <w:rsid w:val="00CD2DD0"/>
    <w:rsid w:val="00CD33EE"/>
    <w:rsid w:val="00CD3776"/>
    <w:rsid w:val="00CD4D65"/>
    <w:rsid w:val="00CD5120"/>
    <w:rsid w:val="00CD55B1"/>
    <w:rsid w:val="00CD5DA2"/>
    <w:rsid w:val="00CD648D"/>
    <w:rsid w:val="00CD6B80"/>
    <w:rsid w:val="00CD7616"/>
    <w:rsid w:val="00CD775A"/>
    <w:rsid w:val="00CE01B5"/>
    <w:rsid w:val="00CE021F"/>
    <w:rsid w:val="00CE0765"/>
    <w:rsid w:val="00CE0959"/>
    <w:rsid w:val="00CE0B98"/>
    <w:rsid w:val="00CE2312"/>
    <w:rsid w:val="00CE336E"/>
    <w:rsid w:val="00CE384F"/>
    <w:rsid w:val="00CE3CDF"/>
    <w:rsid w:val="00CE3D08"/>
    <w:rsid w:val="00CE3E07"/>
    <w:rsid w:val="00CE455E"/>
    <w:rsid w:val="00CE68A3"/>
    <w:rsid w:val="00CE79A8"/>
    <w:rsid w:val="00CE7BC1"/>
    <w:rsid w:val="00CE7E34"/>
    <w:rsid w:val="00CF0639"/>
    <w:rsid w:val="00CF0AE5"/>
    <w:rsid w:val="00CF12B7"/>
    <w:rsid w:val="00CF14A0"/>
    <w:rsid w:val="00CF19DF"/>
    <w:rsid w:val="00CF1ED5"/>
    <w:rsid w:val="00CF1F8D"/>
    <w:rsid w:val="00CF2172"/>
    <w:rsid w:val="00CF25F6"/>
    <w:rsid w:val="00CF2BBB"/>
    <w:rsid w:val="00CF366B"/>
    <w:rsid w:val="00CF3B6C"/>
    <w:rsid w:val="00CF4810"/>
    <w:rsid w:val="00CF4D38"/>
    <w:rsid w:val="00CF4F1F"/>
    <w:rsid w:val="00CF4F47"/>
    <w:rsid w:val="00CF5030"/>
    <w:rsid w:val="00CF6A40"/>
    <w:rsid w:val="00CF6ED0"/>
    <w:rsid w:val="00CF7193"/>
    <w:rsid w:val="00D00511"/>
    <w:rsid w:val="00D005B4"/>
    <w:rsid w:val="00D00784"/>
    <w:rsid w:val="00D00BC5"/>
    <w:rsid w:val="00D00D4D"/>
    <w:rsid w:val="00D00E6F"/>
    <w:rsid w:val="00D01549"/>
    <w:rsid w:val="00D019EA"/>
    <w:rsid w:val="00D01AD1"/>
    <w:rsid w:val="00D02277"/>
    <w:rsid w:val="00D022F4"/>
    <w:rsid w:val="00D02BB4"/>
    <w:rsid w:val="00D03128"/>
    <w:rsid w:val="00D033C8"/>
    <w:rsid w:val="00D03B43"/>
    <w:rsid w:val="00D03C14"/>
    <w:rsid w:val="00D046B2"/>
    <w:rsid w:val="00D04B2D"/>
    <w:rsid w:val="00D04C84"/>
    <w:rsid w:val="00D052B0"/>
    <w:rsid w:val="00D053AF"/>
    <w:rsid w:val="00D0545B"/>
    <w:rsid w:val="00D058FD"/>
    <w:rsid w:val="00D05F86"/>
    <w:rsid w:val="00D06433"/>
    <w:rsid w:val="00D070BE"/>
    <w:rsid w:val="00D07169"/>
    <w:rsid w:val="00D07583"/>
    <w:rsid w:val="00D0769F"/>
    <w:rsid w:val="00D07C40"/>
    <w:rsid w:val="00D102A5"/>
    <w:rsid w:val="00D109FA"/>
    <w:rsid w:val="00D10F4D"/>
    <w:rsid w:val="00D10F85"/>
    <w:rsid w:val="00D111EF"/>
    <w:rsid w:val="00D11712"/>
    <w:rsid w:val="00D11EC0"/>
    <w:rsid w:val="00D120D2"/>
    <w:rsid w:val="00D13294"/>
    <w:rsid w:val="00D13A91"/>
    <w:rsid w:val="00D13CB3"/>
    <w:rsid w:val="00D14D12"/>
    <w:rsid w:val="00D171C8"/>
    <w:rsid w:val="00D20137"/>
    <w:rsid w:val="00D208E6"/>
    <w:rsid w:val="00D2190E"/>
    <w:rsid w:val="00D21A55"/>
    <w:rsid w:val="00D22651"/>
    <w:rsid w:val="00D23AD0"/>
    <w:rsid w:val="00D23B0A"/>
    <w:rsid w:val="00D23E23"/>
    <w:rsid w:val="00D24239"/>
    <w:rsid w:val="00D24BAF"/>
    <w:rsid w:val="00D24C26"/>
    <w:rsid w:val="00D255C6"/>
    <w:rsid w:val="00D25F2F"/>
    <w:rsid w:val="00D2620A"/>
    <w:rsid w:val="00D27091"/>
    <w:rsid w:val="00D277EE"/>
    <w:rsid w:val="00D27D59"/>
    <w:rsid w:val="00D309DD"/>
    <w:rsid w:val="00D30C09"/>
    <w:rsid w:val="00D30C66"/>
    <w:rsid w:val="00D30ECB"/>
    <w:rsid w:val="00D31163"/>
    <w:rsid w:val="00D31D60"/>
    <w:rsid w:val="00D3238A"/>
    <w:rsid w:val="00D3239D"/>
    <w:rsid w:val="00D3330C"/>
    <w:rsid w:val="00D3330E"/>
    <w:rsid w:val="00D3349D"/>
    <w:rsid w:val="00D33682"/>
    <w:rsid w:val="00D34598"/>
    <w:rsid w:val="00D3511A"/>
    <w:rsid w:val="00D35572"/>
    <w:rsid w:val="00D35F28"/>
    <w:rsid w:val="00D36458"/>
    <w:rsid w:val="00D3672A"/>
    <w:rsid w:val="00D368A2"/>
    <w:rsid w:val="00D368FF"/>
    <w:rsid w:val="00D369D2"/>
    <w:rsid w:val="00D36D8E"/>
    <w:rsid w:val="00D374D1"/>
    <w:rsid w:val="00D37596"/>
    <w:rsid w:val="00D37899"/>
    <w:rsid w:val="00D37FCE"/>
    <w:rsid w:val="00D40238"/>
    <w:rsid w:val="00D40D79"/>
    <w:rsid w:val="00D4117C"/>
    <w:rsid w:val="00D41258"/>
    <w:rsid w:val="00D420F0"/>
    <w:rsid w:val="00D43430"/>
    <w:rsid w:val="00D439C3"/>
    <w:rsid w:val="00D449C6"/>
    <w:rsid w:val="00D44A3B"/>
    <w:rsid w:val="00D451A0"/>
    <w:rsid w:val="00D451C2"/>
    <w:rsid w:val="00D45385"/>
    <w:rsid w:val="00D45C34"/>
    <w:rsid w:val="00D4777F"/>
    <w:rsid w:val="00D478D3"/>
    <w:rsid w:val="00D5062B"/>
    <w:rsid w:val="00D50B46"/>
    <w:rsid w:val="00D512DF"/>
    <w:rsid w:val="00D51867"/>
    <w:rsid w:val="00D519DD"/>
    <w:rsid w:val="00D51AD4"/>
    <w:rsid w:val="00D53414"/>
    <w:rsid w:val="00D54B76"/>
    <w:rsid w:val="00D54E08"/>
    <w:rsid w:val="00D5508A"/>
    <w:rsid w:val="00D55828"/>
    <w:rsid w:val="00D55C1D"/>
    <w:rsid w:val="00D56305"/>
    <w:rsid w:val="00D566F1"/>
    <w:rsid w:val="00D57388"/>
    <w:rsid w:val="00D61A0D"/>
    <w:rsid w:val="00D63F0E"/>
    <w:rsid w:val="00D63F45"/>
    <w:rsid w:val="00D64048"/>
    <w:rsid w:val="00D645A6"/>
    <w:rsid w:val="00D64B80"/>
    <w:rsid w:val="00D64E9D"/>
    <w:rsid w:val="00D65A11"/>
    <w:rsid w:val="00D65B91"/>
    <w:rsid w:val="00D662C7"/>
    <w:rsid w:val="00D6688A"/>
    <w:rsid w:val="00D66CD5"/>
    <w:rsid w:val="00D67145"/>
    <w:rsid w:val="00D7057C"/>
    <w:rsid w:val="00D70FF2"/>
    <w:rsid w:val="00D7160F"/>
    <w:rsid w:val="00D7197E"/>
    <w:rsid w:val="00D71DAC"/>
    <w:rsid w:val="00D726FD"/>
    <w:rsid w:val="00D72C26"/>
    <w:rsid w:val="00D73242"/>
    <w:rsid w:val="00D73288"/>
    <w:rsid w:val="00D73686"/>
    <w:rsid w:val="00D7371E"/>
    <w:rsid w:val="00D741DB"/>
    <w:rsid w:val="00D742A0"/>
    <w:rsid w:val="00D74E88"/>
    <w:rsid w:val="00D75216"/>
    <w:rsid w:val="00D756A7"/>
    <w:rsid w:val="00D75D33"/>
    <w:rsid w:val="00D75E56"/>
    <w:rsid w:val="00D76167"/>
    <w:rsid w:val="00D763AE"/>
    <w:rsid w:val="00D76CD8"/>
    <w:rsid w:val="00D76F2E"/>
    <w:rsid w:val="00D77919"/>
    <w:rsid w:val="00D779D4"/>
    <w:rsid w:val="00D8158C"/>
    <w:rsid w:val="00D8359E"/>
    <w:rsid w:val="00D85096"/>
    <w:rsid w:val="00D857FE"/>
    <w:rsid w:val="00D86F69"/>
    <w:rsid w:val="00D86F82"/>
    <w:rsid w:val="00D86FDB"/>
    <w:rsid w:val="00D87458"/>
    <w:rsid w:val="00D87AC4"/>
    <w:rsid w:val="00D901F7"/>
    <w:rsid w:val="00D90311"/>
    <w:rsid w:val="00D907DF"/>
    <w:rsid w:val="00D907F2"/>
    <w:rsid w:val="00D913F3"/>
    <w:rsid w:val="00D915FF"/>
    <w:rsid w:val="00D91CC6"/>
    <w:rsid w:val="00D92BBF"/>
    <w:rsid w:val="00D933F6"/>
    <w:rsid w:val="00D93F68"/>
    <w:rsid w:val="00D94010"/>
    <w:rsid w:val="00D948C4"/>
    <w:rsid w:val="00D94E85"/>
    <w:rsid w:val="00D962CF"/>
    <w:rsid w:val="00D9652E"/>
    <w:rsid w:val="00D96531"/>
    <w:rsid w:val="00D96E0B"/>
    <w:rsid w:val="00D97A0A"/>
    <w:rsid w:val="00D97CEB"/>
    <w:rsid w:val="00DA0A11"/>
    <w:rsid w:val="00DA0AF3"/>
    <w:rsid w:val="00DA0F56"/>
    <w:rsid w:val="00DA26B3"/>
    <w:rsid w:val="00DA2FCF"/>
    <w:rsid w:val="00DA3113"/>
    <w:rsid w:val="00DA3199"/>
    <w:rsid w:val="00DA38EC"/>
    <w:rsid w:val="00DA3AAC"/>
    <w:rsid w:val="00DA3F40"/>
    <w:rsid w:val="00DA435A"/>
    <w:rsid w:val="00DA43EB"/>
    <w:rsid w:val="00DA465F"/>
    <w:rsid w:val="00DA4823"/>
    <w:rsid w:val="00DA4E2E"/>
    <w:rsid w:val="00DA518C"/>
    <w:rsid w:val="00DA5B16"/>
    <w:rsid w:val="00DA654C"/>
    <w:rsid w:val="00DA77DE"/>
    <w:rsid w:val="00DA7C18"/>
    <w:rsid w:val="00DB0A0F"/>
    <w:rsid w:val="00DB2AEF"/>
    <w:rsid w:val="00DB2B51"/>
    <w:rsid w:val="00DB341C"/>
    <w:rsid w:val="00DB4525"/>
    <w:rsid w:val="00DB47A5"/>
    <w:rsid w:val="00DB4D17"/>
    <w:rsid w:val="00DB55E1"/>
    <w:rsid w:val="00DB5EDA"/>
    <w:rsid w:val="00DB7CED"/>
    <w:rsid w:val="00DC09FC"/>
    <w:rsid w:val="00DC102C"/>
    <w:rsid w:val="00DC15B7"/>
    <w:rsid w:val="00DC1EC8"/>
    <w:rsid w:val="00DC2E18"/>
    <w:rsid w:val="00DC2FA0"/>
    <w:rsid w:val="00DC30FE"/>
    <w:rsid w:val="00DC3512"/>
    <w:rsid w:val="00DC385E"/>
    <w:rsid w:val="00DC3C05"/>
    <w:rsid w:val="00DC3EC8"/>
    <w:rsid w:val="00DC4068"/>
    <w:rsid w:val="00DC4145"/>
    <w:rsid w:val="00DC493B"/>
    <w:rsid w:val="00DC759F"/>
    <w:rsid w:val="00DD0B51"/>
    <w:rsid w:val="00DD0BE6"/>
    <w:rsid w:val="00DD1707"/>
    <w:rsid w:val="00DD1C59"/>
    <w:rsid w:val="00DD23B0"/>
    <w:rsid w:val="00DD2FD9"/>
    <w:rsid w:val="00DD3272"/>
    <w:rsid w:val="00DD3467"/>
    <w:rsid w:val="00DD45B5"/>
    <w:rsid w:val="00DD474F"/>
    <w:rsid w:val="00DD4A1A"/>
    <w:rsid w:val="00DD52FC"/>
    <w:rsid w:val="00DD5516"/>
    <w:rsid w:val="00DD5C14"/>
    <w:rsid w:val="00DD5C3A"/>
    <w:rsid w:val="00DD64C8"/>
    <w:rsid w:val="00DD674D"/>
    <w:rsid w:val="00DD701C"/>
    <w:rsid w:val="00DD7DA4"/>
    <w:rsid w:val="00DE017D"/>
    <w:rsid w:val="00DE0CC3"/>
    <w:rsid w:val="00DE0F83"/>
    <w:rsid w:val="00DE2C73"/>
    <w:rsid w:val="00DE3136"/>
    <w:rsid w:val="00DE39F4"/>
    <w:rsid w:val="00DE39F8"/>
    <w:rsid w:val="00DE3A27"/>
    <w:rsid w:val="00DE3A6B"/>
    <w:rsid w:val="00DE3C7D"/>
    <w:rsid w:val="00DE4965"/>
    <w:rsid w:val="00DE4EA8"/>
    <w:rsid w:val="00DE50FD"/>
    <w:rsid w:val="00DE5854"/>
    <w:rsid w:val="00DE587D"/>
    <w:rsid w:val="00DE5CC8"/>
    <w:rsid w:val="00DE6805"/>
    <w:rsid w:val="00DE7807"/>
    <w:rsid w:val="00DE7C25"/>
    <w:rsid w:val="00DF0D0A"/>
    <w:rsid w:val="00DF1211"/>
    <w:rsid w:val="00DF1385"/>
    <w:rsid w:val="00DF1FB9"/>
    <w:rsid w:val="00DF2469"/>
    <w:rsid w:val="00DF2EB3"/>
    <w:rsid w:val="00DF316E"/>
    <w:rsid w:val="00DF3626"/>
    <w:rsid w:val="00DF3FC2"/>
    <w:rsid w:val="00DF58E5"/>
    <w:rsid w:val="00DF7634"/>
    <w:rsid w:val="00DF79E1"/>
    <w:rsid w:val="00E000D0"/>
    <w:rsid w:val="00E00F2E"/>
    <w:rsid w:val="00E01525"/>
    <w:rsid w:val="00E0160E"/>
    <w:rsid w:val="00E0186E"/>
    <w:rsid w:val="00E01D83"/>
    <w:rsid w:val="00E01FE1"/>
    <w:rsid w:val="00E024B2"/>
    <w:rsid w:val="00E025CC"/>
    <w:rsid w:val="00E02FCC"/>
    <w:rsid w:val="00E03063"/>
    <w:rsid w:val="00E036B3"/>
    <w:rsid w:val="00E03797"/>
    <w:rsid w:val="00E057EA"/>
    <w:rsid w:val="00E05BBB"/>
    <w:rsid w:val="00E06FAA"/>
    <w:rsid w:val="00E07AA2"/>
    <w:rsid w:val="00E1015B"/>
    <w:rsid w:val="00E106AE"/>
    <w:rsid w:val="00E10723"/>
    <w:rsid w:val="00E10E5A"/>
    <w:rsid w:val="00E11A5C"/>
    <w:rsid w:val="00E1223A"/>
    <w:rsid w:val="00E122A9"/>
    <w:rsid w:val="00E12ABE"/>
    <w:rsid w:val="00E1415F"/>
    <w:rsid w:val="00E15683"/>
    <w:rsid w:val="00E1603D"/>
    <w:rsid w:val="00E171AC"/>
    <w:rsid w:val="00E177C6"/>
    <w:rsid w:val="00E1784D"/>
    <w:rsid w:val="00E20A95"/>
    <w:rsid w:val="00E20E02"/>
    <w:rsid w:val="00E21806"/>
    <w:rsid w:val="00E21BD1"/>
    <w:rsid w:val="00E2282E"/>
    <w:rsid w:val="00E2294D"/>
    <w:rsid w:val="00E2297A"/>
    <w:rsid w:val="00E229C1"/>
    <w:rsid w:val="00E22C09"/>
    <w:rsid w:val="00E2339C"/>
    <w:rsid w:val="00E238C8"/>
    <w:rsid w:val="00E239E9"/>
    <w:rsid w:val="00E23FAE"/>
    <w:rsid w:val="00E25C75"/>
    <w:rsid w:val="00E26416"/>
    <w:rsid w:val="00E2796A"/>
    <w:rsid w:val="00E30003"/>
    <w:rsid w:val="00E30CDC"/>
    <w:rsid w:val="00E31053"/>
    <w:rsid w:val="00E313CE"/>
    <w:rsid w:val="00E31F09"/>
    <w:rsid w:val="00E320DB"/>
    <w:rsid w:val="00E32733"/>
    <w:rsid w:val="00E32DB0"/>
    <w:rsid w:val="00E331D5"/>
    <w:rsid w:val="00E33AB2"/>
    <w:rsid w:val="00E33E69"/>
    <w:rsid w:val="00E3493A"/>
    <w:rsid w:val="00E3497F"/>
    <w:rsid w:val="00E34E6A"/>
    <w:rsid w:val="00E34F1E"/>
    <w:rsid w:val="00E35F0A"/>
    <w:rsid w:val="00E36245"/>
    <w:rsid w:val="00E363CF"/>
    <w:rsid w:val="00E36D49"/>
    <w:rsid w:val="00E36E14"/>
    <w:rsid w:val="00E408E9"/>
    <w:rsid w:val="00E418F1"/>
    <w:rsid w:val="00E41C29"/>
    <w:rsid w:val="00E4238A"/>
    <w:rsid w:val="00E423EE"/>
    <w:rsid w:val="00E4324D"/>
    <w:rsid w:val="00E43812"/>
    <w:rsid w:val="00E4443F"/>
    <w:rsid w:val="00E44935"/>
    <w:rsid w:val="00E4579A"/>
    <w:rsid w:val="00E46771"/>
    <w:rsid w:val="00E46E0B"/>
    <w:rsid w:val="00E471ED"/>
    <w:rsid w:val="00E478DA"/>
    <w:rsid w:val="00E479FF"/>
    <w:rsid w:val="00E5076A"/>
    <w:rsid w:val="00E50934"/>
    <w:rsid w:val="00E50E1F"/>
    <w:rsid w:val="00E52538"/>
    <w:rsid w:val="00E528AD"/>
    <w:rsid w:val="00E52A22"/>
    <w:rsid w:val="00E53041"/>
    <w:rsid w:val="00E535C2"/>
    <w:rsid w:val="00E53728"/>
    <w:rsid w:val="00E53914"/>
    <w:rsid w:val="00E540D5"/>
    <w:rsid w:val="00E54A4F"/>
    <w:rsid w:val="00E564BC"/>
    <w:rsid w:val="00E5696B"/>
    <w:rsid w:val="00E60221"/>
    <w:rsid w:val="00E6098E"/>
    <w:rsid w:val="00E60A5A"/>
    <w:rsid w:val="00E61389"/>
    <w:rsid w:val="00E61780"/>
    <w:rsid w:val="00E6301A"/>
    <w:rsid w:val="00E649E1"/>
    <w:rsid w:val="00E65663"/>
    <w:rsid w:val="00E661DB"/>
    <w:rsid w:val="00E66781"/>
    <w:rsid w:val="00E66C88"/>
    <w:rsid w:val="00E67BA3"/>
    <w:rsid w:val="00E67D73"/>
    <w:rsid w:val="00E67D7A"/>
    <w:rsid w:val="00E71086"/>
    <w:rsid w:val="00E71B32"/>
    <w:rsid w:val="00E72079"/>
    <w:rsid w:val="00E72E8F"/>
    <w:rsid w:val="00E72F98"/>
    <w:rsid w:val="00E736AA"/>
    <w:rsid w:val="00E7391F"/>
    <w:rsid w:val="00E745BB"/>
    <w:rsid w:val="00E748D7"/>
    <w:rsid w:val="00E75BEC"/>
    <w:rsid w:val="00E7632F"/>
    <w:rsid w:val="00E767E3"/>
    <w:rsid w:val="00E777A5"/>
    <w:rsid w:val="00E77BF3"/>
    <w:rsid w:val="00E77E32"/>
    <w:rsid w:val="00E800B4"/>
    <w:rsid w:val="00E809C8"/>
    <w:rsid w:val="00E80EE9"/>
    <w:rsid w:val="00E8173D"/>
    <w:rsid w:val="00E81907"/>
    <w:rsid w:val="00E81B11"/>
    <w:rsid w:val="00E825D5"/>
    <w:rsid w:val="00E82D76"/>
    <w:rsid w:val="00E82FC8"/>
    <w:rsid w:val="00E8339E"/>
    <w:rsid w:val="00E834BF"/>
    <w:rsid w:val="00E83987"/>
    <w:rsid w:val="00E84CC4"/>
    <w:rsid w:val="00E87BD5"/>
    <w:rsid w:val="00E87C5D"/>
    <w:rsid w:val="00E90B12"/>
    <w:rsid w:val="00E91E57"/>
    <w:rsid w:val="00E921EF"/>
    <w:rsid w:val="00E92BF5"/>
    <w:rsid w:val="00E95897"/>
    <w:rsid w:val="00E95C12"/>
    <w:rsid w:val="00E95DDA"/>
    <w:rsid w:val="00E972A2"/>
    <w:rsid w:val="00EA021F"/>
    <w:rsid w:val="00EA0243"/>
    <w:rsid w:val="00EA03AA"/>
    <w:rsid w:val="00EA0837"/>
    <w:rsid w:val="00EA12EA"/>
    <w:rsid w:val="00EA141E"/>
    <w:rsid w:val="00EA1B41"/>
    <w:rsid w:val="00EA1DF6"/>
    <w:rsid w:val="00EA2134"/>
    <w:rsid w:val="00EA23AC"/>
    <w:rsid w:val="00EA288F"/>
    <w:rsid w:val="00EA2B29"/>
    <w:rsid w:val="00EA2BF9"/>
    <w:rsid w:val="00EA2C90"/>
    <w:rsid w:val="00EA35FC"/>
    <w:rsid w:val="00EA3942"/>
    <w:rsid w:val="00EA3F5C"/>
    <w:rsid w:val="00EA5A78"/>
    <w:rsid w:val="00EA5DE5"/>
    <w:rsid w:val="00EA71D3"/>
    <w:rsid w:val="00EA7791"/>
    <w:rsid w:val="00EB00BA"/>
    <w:rsid w:val="00EB051D"/>
    <w:rsid w:val="00EB1072"/>
    <w:rsid w:val="00EB1A14"/>
    <w:rsid w:val="00EB1A97"/>
    <w:rsid w:val="00EB1DDC"/>
    <w:rsid w:val="00EB2196"/>
    <w:rsid w:val="00EB2610"/>
    <w:rsid w:val="00EB2A87"/>
    <w:rsid w:val="00EB2C1A"/>
    <w:rsid w:val="00EB2D92"/>
    <w:rsid w:val="00EB3229"/>
    <w:rsid w:val="00EB341F"/>
    <w:rsid w:val="00EB43C4"/>
    <w:rsid w:val="00EB5C2A"/>
    <w:rsid w:val="00EB686E"/>
    <w:rsid w:val="00EB6974"/>
    <w:rsid w:val="00EB6D6E"/>
    <w:rsid w:val="00EB7570"/>
    <w:rsid w:val="00EB76BD"/>
    <w:rsid w:val="00EC05A9"/>
    <w:rsid w:val="00EC07EF"/>
    <w:rsid w:val="00EC2103"/>
    <w:rsid w:val="00EC27C8"/>
    <w:rsid w:val="00EC2BE5"/>
    <w:rsid w:val="00EC2CCA"/>
    <w:rsid w:val="00EC2E57"/>
    <w:rsid w:val="00EC2E71"/>
    <w:rsid w:val="00EC4BC3"/>
    <w:rsid w:val="00EC4D53"/>
    <w:rsid w:val="00EC5347"/>
    <w:rsid w:val="00EC5FAC"/>
    <w:rsid w:val="00EC6B91"/>
    <w:rsid w:val="00EC7652"/>
    <w:rsid w:val="00EC766D"/>
    <w:rsid w:val="00EC7835"/>
    <w:rsid w:val="00ED05EB"/>
    <w:rsid w:val="00ED0D53"/>
    <w:rsid w:val="00ED0ED2"/>
    <w:rsid w:val="00ED25BD"/>
    <w:rsid w:val="00ED3605"/>
    <w:rsid w:val="00ED3CE8"/>
    <w:rsid w:val="00ED47E4"/>
    <w:rsid w:val="00ED4B01"/>
    <w:rsid w:val="00ED5511"/>
    <w:rsid w:val="00ED58AD"/>
    <w:rsid w:val="00ED5E13"/>
    <w:rsid w:val="00ED6524"/>
    <w:rsid w:val="00ED659F"/>
    <w:rsid w:val="00ED6A91"/>
    <w:rsid w:val="00ED6C71"/>
    <w:rsid w:val="00ED71AE"/>
    <w:rsid w:val="00ED73A4"/>
    <w:rsid w:val="00ED7D8F"/>
    <w:rsid w:val="00EE1A53"/>
    <w:rsid w:val="00EE1BEE"/>
    <w:rsid w:val="00EE22A7"/>
    <w:rsid w:val="00EE3627"/>
    <w:rsid w:val="00EE4D2B"/>
    <w:rsid w:val="00EE559E"/>
    <w:rsid w:val="00EE5D97"/>
    <w:rsid w:val="00EE5DE3"/>
    <w:rsid w:val="00EE6288"/>
    <w:rsid w:val="00EE66AD"/>
    <w:rsid w:val="00EE66D4"/>
    <w:rsid w:val="00EE6B64"/>
    <w:rsid w:val="00EE6C36"/>
    <w:rsid w:val="00EE6F5D"/>
    <w:rsid w:val="00EE725D"/>
    <w:rsid w:val="00EF00D3"/>
    <w:rsid w:val="00EF0280"/>
    <w:rsid w:val="00EF12CC"/>
    <w:rsid w:val="00EF1613"/>
    <w:rsid w:val="00EF2355"/>
    <w:rsid w:val="00EF3011"/>
    <w:rsid w:val="00EF3786"/>
    <w:rsid w:val="00EF3793"/>
    <w:rsid w:val="00EF3BE1"/>
    <w:rsid w:val="00EF41A1"/>
    <w:rsid w:val="00EF4351"/>
    <w:rsid w:val="00EF4927"/>
    <w:rsid w:val="00EF4B23"/>
    <w:rsid w:val="00EF5363"/>
    <w:rsid w:val="00EF5387"/>
    <w:rsid w:val="00EF59F2"/>
    <w:rsid w:val="00EF622F"/>
    <w:rsid w:val="00EF6E4E"/>
    <w:rsid w:val="00EF713B"/>
    <w:rsid w:val="00EF780A"/>
    <w:rsid w:val="00EF7B3E"/>
    <w:rsid w:val="00F0026E"/>
    <w:rsid w:val="00F0069B"/>
    <w:rsid w:val="00F01D44"/>
    <w:rsid w:val="00F01F24"/>
    <w:rsid w:val="00F02BF0"/>
    <w:rsid w:val="00F03C49"/>
    <w:rsid w:val="00F03F33"/>
    <w:rsid w:val="00F0432C"/>
    <w:rsid w:val="00F04516"/>
    <w:rsid w:val="00F062F5"/>
    <w:rsid w:val="00F06535"/>
    <w:rsid w:val="00F07A6D"/>
    <w:rsid w:val="00F1097C"/>
    <w:rsid w:val="00F121F0"/>
    <w:rsid w:val="00F123F4"/>
    <w:rsid w:val="00F12F63"/>
    <w:rsid w:val="00F1310D"/>
    <w:rsid w:val="00F13971"/>
    <w:rsid w:val="00F14133"/>
    <w:rsid w:val="00F144D6"/>
    <w:rsid w:val="00F14C5F"/>
    <w:rsid w:val="00F14FC4"/>
    <w:rsid w:val="00F1511E"/>
    <w:rsid w:val="00F15860"/>
    <w:rsid w:val="00F15A42"/>
    <w:rsid w:val="00F15DA5"/>
    <w:rsid w:val="00F16108"/>
    <w:rsid w:val="00F16136"/>
    <w:rsid w:val="00F16D91"/>
    <w:rsid w:val="00F1705F"/>
    <w:rsid w:val="00F173F4"/>
    <w:rsid w:val="00F201FD"/>
    <w:rsid w:val="00F2085A"/>
    <w:rsid w:val="00F2166C"/>
    <w:rsid w:val="00F2199B"/>
    <w:rsid w:val="00F2227C"/>
    <w:rsid w:val="00F23548"/>
    <w:rsid w:val="00F2359A"/>
    <w:rsid w:val="00F2404C"/>
    <w:rsid w:val="00F2429E"/>
    <w:rsid w:val="00F25371"/>
    <w:rsid w:val="00F25545"/>
    <w:rsid w:val="00F26340"/>
    <w:rsid w:val="00F265B9"/>
    <w:rsid w:val="00F266AA"/>
    <w:rsid w:val="00F2685A"/>
    <w:rsid w:val="00F2701E"/>
    <w:rsid w:val="00F27557"/>
    <w:rsid w:val="00F27661"/>
    <w:rsid w:val="00F27FFD"/>
    <w:rsid w:val="00F3079C"/>
    <w:rsid w:val="00F3223F"/>
    <w:rsid w:val="00F3267F"/>
    <w:rsid w:val="00F33779"/>
    <w:rsid w:val="00F33B9C"/>
    <w:rsid w:val="00F340F6"/>
    <w:rsid w:val="00F34129"/>
    <w:rsid w:val="00F3424C"/>
    <w:rsid w:val="00F354AA"/>
    <w:rsid w:val="00F3604D"/>
    <w:rsid w:val="00F3659C"/>
    <w:rsid w:val="00F37037"/>
    <w:rsid w:val="00F373AE"/>
    <w:rsid w:val="00F3771F"/>
    <w:rsid w:val="00F37869"/>
    <w:rsid w:val="00F37A08"/>
    <w:rsid w:val="00F37BB9"/>
    <w:rsid w:val="00F406EC"/>
    <w:rsid w:val="00F40B80"/>
    <w:rsid w:val="00F41B49"/>
    <w:rsid w:val="00F423F0"/>
    <w:rsid w:val="00F42726"/>
    <w:rsid w:val="00F42C78"/>
    <w:rsid w:val="00F43C32"/>
    <w:rsid w:val="00F44601"/>
    <w:rsid w:val="00F453B6"/>
    <w:rsid w:val="00F4568C"/>
    <w:rsid w:val="00F45854"/>
    <w:rsid w:val="00F45D0C"/>
    <w:rsid w:val="00F45F5F"/>
    <w:rsid w:val="00F468F2"/>
    <w:rsid w:val="00F4697F"/>
    <w:rsid w:val="00F46B56"/>
    <w:rsid w:val="00F46D54"/>
    <w:rsid w:val="00F50DC4"/>
    <w:rsid w:val="00F52363"/>
    <w:rsid w:val="00F524C0"/>
    <w:rsid w:val="00F52A72"/>
    <w:rsid w:val="00F53548"/>
    <w:rsid w:val="00F548BE"/>
    <w:rsid w:val="00F5528F"/>
    <w:rsid w:val="00F567D9"/>
    <w:rsid w:val="00F568B3"/>
    <w:rsid w:val="00F568CD"/>
    <w:rsid w:val="00F569C2"/>
    <w:rsid w:val="00F56AE4"/>
    <w:rsid w:val="00F57527"/>
    <w:rsid w:val="00F57C62"/>
    <w:rsid w:val="00F57FC5"/>
    <w:rsid w:val="00F6000C"/>
    <w:rsid w:val="00F61269"/>
    <w:rsid w:val="00F61EFA"/>
    <w:rsid w:val="00F62DFC"/>
    <w:rsid w:val="00F62F58"/>
    <w:rsid w:val="00F6362F"/>
    <w:rsid w:val="00F6381A"/>
    <w:rsid w:val="00F64983"/>
    <w:rsid w:val="00F65403"/>
    <w:rsid w:val="00F658BB"/>
    <w:rsid w:val="00F6598F"/>
    <w:rsid w:val="00F65FF3"/>
    <w:rsid w:val="00F66292"/>
    <w:rsid w:val="00F6694F"/>
    <w:rsid w:val="00F67026"/>
    <w:rsid w:val="00F70012"/>
    <w:rsid w:val="00F702ED"/>
    <w:rsid w:val="00F7048F"/>
    <w:rsid w:val="00F70A5D"/>
    <w:rsid w:val="00F70D04"/>
    <w:rsid w:val="00F71756"/>
    <w:rsid w:val="00F717ED"/>
    <w:rsid w:val="00F722AD"/>
    <w:rsid w:val="00F72E37"/>
    <w:rsid w:val="00F72ED6"/>
    <w:rsid w:val="00F72EDE"/>
    <w:rsid w:val="00F73F4D"/>
    <w:rsid w:val="00F748DB"/>
    <w:rsid w:val="00F7494B"/>
    <w:rsid w:val="00F74B62"/>
    <w:rsid w:val="00F74E67"/>
    <w:rsid w:val="00F75BD6"/>
    <w:rsid w:val="00F76257"/>
    <w:rsid w:val="00F765FF"/>
    <w:rsid w:val="00F76B38"/>
    <w:rsid w:val="00F76DA5"/>
    <w:rsid w:val="00F76F1C"/>
    <w:rsid w:val="00F76FC2"/>
    <w:rsid w:val="00F770EF"/>
    <w:rsid w:val="00F775E1"/>
    <w:rsid w:val="00F77672"/>
    <w:rsid w:val="00F7791F"/>
    <w:rsid w:val="00F77BDA"/>
    <w:rsid w:val="00F77EC2"/>
    <w:rsid w:val="00F808A8"/>
    <w:rsid w:val="00F80E09"/>
    <w:rsid w:val="00F812FC"/>
    <w:rsid w:val="00F81687"/>
    <w:rsid w:val="00F81CE3"/>
    <w:rsid w:val="00F81D23"/>
    <w:rsid w:val="00F82060"/>
    <w:rsid w:val="00F820BF"/>
    <w:rsid w:val="00F82B2A"/>
    <w:rsid w:val="00F83B27"/>
    <w:rsid w:val="00F83E60"/>
    <w:rsid w:val="00F83FD9"/>
    <w:rsid w:val="00F84289"/>
    <w:rsid w:val="00F84293"/>
    <w:rsid w:val="00F857D6"/>
    <w:rsid w:val="00F87193"/>
    <w:rsid w:val="00F8722D"/>
    <w:rsid w:val="00F8768E"/>
    <w:rsid w:val="00F87F99"/>
    <w:rsid w:val="00F87FCA"/>
    <w:rsid w:val="00F902E6"/>
    <w:rsid w:val="00F9196A"/>
    <w:rsid w:val="00F92621"/>
    <w:rsid w:val="00F92790"/>
    <w:rsid w:val="00F92920"/>
    <w:rsid w:val="00F92ACA"/>
    <w:rsid w:val="00F92E7C"/>
    <w:rsid w:val="00F92EAB"/>
    <w:rsid w:val="00F93083"/>
    <w:rsid w:val="00F930D9"/>
    <w:rsid w:val="00F93EEE"/>
    <w:rsid w:val="00F93FDA"/>
    <w:rsid w:val="00F954CA"/>
    <w:rsid w:val="00F96280"/>
    <w:rsid w:val="00F96E84"/>
    <w:rsid w:val="00F97914"/>
    <w:rsid w:val="00FA01D4"/>
    <w:rsid w:val="00FA084F"/>
    <w:rsid w:val="00FA2BD7"/>
    <w:rsid w:val="00FA30F5"/>
    <w:rsid w:val="00FA3BAD"/>
    <w:rsid w:val="00FA3F06"/>
    <w:rsid w:val="00FA416A"/>
    <w:rsid w:val="00FA4744"/>
    <w:rsid w:val="00FA4872"/>
    <w:rsid w:val="00FA4B78"/>
    <w:rsid w:val="00FA62E0"/>
    <w:rsid w:val="00FA63D3"/>
    <w:rsid w:val="00FA6741"/>
    <w:rsid w:val="00FA6DE6"/>
    <w:rsid w:val="00FA6F37"/>
    <w:rsid w:val="00FA6FA7"/>
    <w:rsid w:val="00FB0862"/>
    <w:rsid w:val="00FB119A"/>
    <w:rsid w:val="00FB1431"/>
    <w:rsid w:val="00FB181F"/>
    <w:rsid w:val="00FB1918"/>
    <w:rsid w:val="00FB1AE8"/>
    <w:rsid w:val="00FB1D7A"/>
    <w:rsid w:val="00FB24C0"/>
    <w:rsid w:val="00FB286E"/>
    <w:rsid w:val="00FB2A18"/>
    <w:rsid w:val="00FB3F9C"/>
    <w:rsid w:val="00FB4206"/>
    <w:rsid w:val="00FB4D9A"/>
    <w:rsid w:val="00FB526E"/>
    <w:rsid w:val="00FB5B30"/>
    <w:rsid w:val="00FB5CF6"/>
    <w:rsid w:val="00FB6C8D"/>
    <w:rsid w:val="00FB6D76"/>
    <w:rsid w:val="00FB6F8F"/>
    <w:rsid w:val="00FB7430"/>
    <w:rsid w:val="00FB7450"/>
    <w:rsid w:val="00FB7968"/>
    <w:rsid w:val="00FC0562"/>
    <w:rsid w:val="00FC0EFA"/>
    <w:rsid w:val="00FC1079"/>
    <w:rsid w:val="00FC1327"/>
    <w:rsid w:val="00FC1533"/>
    <w:rsid w:val="00FC1B8F"/>
    <w:rsid w:val="00FC1BE4"/>
    <w:rsid w:val="00FC1D4B"/>
    <w:rsid w:val="00FC201C"/>
    <w:rsid w:val="00FC242A"/>
    <w:rsid w:val="00FC2580"/>
    <w:rsid w:val="00FC314B"/>
    <w:rsid w:val="00FC39CA"/>
    <w:rsid w:val="00FC3AE8"/>
    <w:rsid w:val="00FC3C18"/>
    <w:rsid w:val="00FC4A41"/>
    <w:rsid w:val="00FC5E6F"/>
    <w:rsid w:val="00FC7615"/>
    <w:rsid w:val="00FC7785"/>
    <w:rsid w:val="00FC7F4D"/>
    <w:rsid w:val="00FD058E"/>
    <w:rsid w:val="00FD05BC"/>
    <w:rsid w:val="00FD0E60"/>
    <w:rsid w:val="00FD2102"/>
    <w:rsid w:val="00FD2718"/>
    <w:rsid w:val="00FD3889"/>
    <w:rsid w:val="00FD45D6"/>
    <w:rsid w:val="00FD465C"/>
    <w:rsid w:val="00FD4D73"/>
    <w:rsid w:val="00FD562A"/>
    <w:rsid w:val="00FD6411"/>
    <w:rsid w:val="00FD64EF"/>
    <w:rsid w:val="00FD7771"/>
    <w:rsid w:val="00FE0294"/>
    <w:rsid w:val="00FE14D4"/>
    <w:rsid w:val="00FE18B4"/>
    <w:rsid w:val="00FE2F0E"/>
    <w:rsid w:val="00FE2F48"/>
    <w:rsid w:val="00FE357B"/>
    <w:rsid w:val="00FE37C2"/>
    <w:rsid w:val="00FE4F46"/>
    <w:rsid w:val="00FE5276"/>
    <w:rsid w:val="00FE563B"/>
    <w:rsid w:val="00FE5DA3"/>
    <w:rsid w:val="00FE66FB"/>
    <w:rsid w:val="00FE6997"/>
    <w:rsid w:val="00FE6FAA"/>
    <w:rsid w:val="00FE7053"/>
    <w:rsid w:val="00FE7884"/>
    <w:rsid w:val="00FE7D12"/>
    <w:rsid w:val="00FE7EBD"/>
    <w:rsid w:val="00FF3DBD"/>
    <w:rsid w:val="00FF4204"/>
    <w:rsid w:val="00FF4314"/>
    <w:rsid w:val="00FF456E"/>
    <w:rsid w:val="00FF4A19"/>
    <w:rsid w:val="00FF4CE2"/>
    <w:rsid w:val="00FF520E"/>
    <w:rsid w:val="00FF70F3"/>
    <w:rsid w:val="00FF7533"/>
    <w:rsid w:val="00FF7BA6"/>
    <w:rsid w:val="00FF7C38"/>
    <w:rsid w:val="017317C4"/>
    <w:rsid w:val="01F0299B"/>
    <w:rsid w:val="026E4F91"/>
    <w:rsid w:val="041D095D"/>
    <w:rsid w:val="05C87DB9"/>
    <w:rsid w:val="0961739E"/>
    <w:rsid w:val="098E6083"/>
    <w:rsid w:val="0B205B2B"/>
    <w:rsid w:val="0B782559"/>
    <w:rsid w:val="0D566BC9"/>
    <w:rsid w:val="0E180322"/>
    <w:rsid w:val="0E8C4995"/>
    <w:rsid w:val="0EF27BFB"/>
    <w:rsid w:val="0FBC50EF"/>
    <w:rsid w:val="115F3FD7"/>
    <w:rsid w:val="11A259DD"/>
    <w:rsid w:val="120474A0"/>
    <w:rsid w:val="13102ABE"/>
    <w:rsid w:val="167D280D"/>
    <w:rsid w:val="17047766"/>
    <w:rsid w:val="17935895"/>
    <w:rsid w:val="17F52C18"/>
    <w:rsid w:val="184530EF"/>
    <w:rsid w:val="19227A4B"/>
    <w:rsid w:val="1B3E182A"/>
    <w:rsid w:val="1B4B5195"/>
    <w:rsid w:val="1C174C6F"/>
    <w:rsid w:val="1C1B089F"/>
    <w:rsid w:val="1C7C020D"/>
    <w:rsid w:val="1C8F78BA"/>
    <w:rsid w:val="1C9B0D84"/>
    <w:rsid w:val="1CDD3F3B"/>
    <w:rsid w:val="1D4D6869"/>
    <w:rsid w:val="21760101"/>
    <w:rsid w:val="22B25284"/>
    <w:rsid w:val="22C07D9F"/>
    <w:rsid w:val="23056CBA"/>
    <w:rsid w:val="234C1E42"/>
    <w:rsid w:val="23C6059E"/>
    <w:rsid w:val="23C95079"/>
    <w:rsid w:val="24031A53"/>
    <w:rsid w:val="24307C26"/>
    <w:rsid w:val="248E5D4C"/>
    <w:rsid w:val="24C47897"/>
    <w:rsid w:val="24E337F8"/>
    <w:rsid w:val="258D3B57"/>
    <w:rsid w:val="261774E7"/>
    <w:rsid w:val="262336EE"/>
    <w:rsid w:val="269E4C0C"/>
    <w:rsid w:val="27024D1A"/>
    <w:rsid w:val="29106F9A"/>
    <w:rsid w:val="2AD85037"/>
    <w:rsid w:val="2BD0253B"/>
    <w:rsid w:val="2C444480"/>
    <w:rsid w:val="2C564DC3"/>
    <w:rsid w:val="2D6C141D"/>
    <w:rsid w:val="2EB64B4B"/>
    <w:rsid w:val="2EDB590A"/>
    <w:rsid w:val="2F0A29E3"/>
    <w:rsid w:val="30817D6A"/>
    <w:rsid w:val="30C052AD"/>
    <w:rsid w:val="3157114E"/>
    <w:rsid w:val="31F2037F"/>
    <w:rsid w:val="329B11F6"/>
    <w:rsid w:val="336E087E"/>
    <w:rsid w:val="33C3087D"/>
    <w:rsid w:val="35961B12"/>
    <w:rsid w:val="364523AD"/>
    <w:rsid w:val="36700D38"/>
    <w:rsid w:val="36C4673D"/>
    <w:rsid w:val="37B10B63"/>
    <w:rsid w:val="37D17C49"/>
    <w:rsid w:val="390721D7"/>
    <w:rsid w:val="393B510C"/>
    <w:rsid w:val="393F4767"/>
    <w:rsid w:val="39A97E97"/>
    <w:rsid w:val="3A260C29"/>
    <w:rsid w:val="3B57268D"/>
    <w:rsid w:val="3B6176CE"/>
    <w:rsid w:val="3B7543C7"/>
    <w:rsid w:val="3BF9504C"/>
    <w:rsid w:val="3CF11603"/>
    <w:rsid w:val="3D7507FB"/>
    <w:rsid w:val="3EB5127A"/>
    <w:rsid w:val="3F503E5E"/>
    <w:rsid w:val="3FC16214"/>
    <w:rsid w:val="41576FF8"/>
    <w:rsid w:val="41D9164E"/>
    <w:rsid w:val="41DD521D"/>
    <w:rsid w:val="423B7022"/>
    <w:rsid w:val="4389060E"/>
    <w:rsid w:val="43C8028A"/>
    <w:rsid w:val="43D51667"/>
    <w:rsid w:val="443B2C25"/>
    <w:rsid w:val="448421F1"/>
    <w:rsid w:val="4574429F"/>
    <w:rsid w:val="45D37D9B"/>
    <w:rsid w:val="48194FD5"/>
    <w:rsid w:val="484514CB"/>
    <w:rsid w:val="48C86EE1"/>
    <w:rsid w:val="49FA6EF8"/>
    <w:rsid w:val="4A784961"/>
    <w:rsid w:val="4ACF3A3C"/>
    <w:rsid w:val="4B1700DF"/>
    <w:rsid w:val="4F0F6A19"/>
    <w:rsid w:val="51D10A66"/>
    <w:rsid w:val="528A390F"/>
    <w:rsid w:val="528C6991"/>
    <w:rsid w:val="54054633"/>
    <w:rsid w:val="540605E4"/>
    <w:rsid w:val="547F0032"/>
    <w:rsid w:val="54A02A20"/>
    <w:rsid w:val="55C87B3E"/>
    <w:rsid w:val="58D67D8C"/>
    <w:rsid w:val="58E10577"/>
    <w:rsid w:val="59165EF7"/>
    <w:rsid w:val="59702A12"/>
    <w:rsid w:val="5AED2A9C"/>
    <w:rsid w:val="5BC746C9"/>
    <w:rsid w:val="5CC61F72"/>
    <w:rsid w:val="5CF206F7"/>
    <w:rsid w:val="5EA0340D"/>
    <w:rsid w:val="5ED66C3C"/>
    <w:rsid w:val="5FDD643B"/>
    <w:rsid w:val="608A71FA"/>
    <w:rsid w:val="60BA3E42"/>
    <w:rsid w:val="6194383B"/>
    <w:rsid w:val="61A14A39"/>
    <w:rsid w:val="61CB5375"/>
    <w:rsid w:val="623348CA"/>
    <w:rsid w:val="65CA685B"/>
    <w:rsid w:val="65CF34A7"/>
    <w:rsid w:val="65F660EF"/>
    <w:rsid w:val="6673798C"/>
    <w:rsid w:val="673905B6"/>
    <w:rsid w:val="681C3942"/>
    <w:rsid w:val="68460AAC"/>
    <w:rsid w:val="68AC1CFE"/>
    <w:rsid w:val="6BCD1DE6"/>
    <w:rsid w:val="6C505023"/>
    <w:rsid w:val="6D14299F"/>
    <w:rsid w:val="6D672A1E"/>
    <w:rsid w:val="6DC237D1"/>
    <w:rsid w:val="6F3D37B7"/>
    <w:rsid w:val="6F40725E"/>
    <w:rsid w:val="711172CF"/>
    <w:rsid w:val="71FD54DD"/>
    <w:rsid w:val="7410294D"/>
    <w:rsid w:val="76D71644"/>
    <w:rsid w:val="776C2FB6"/>
    <w:rsid w:val="78D90CE6"/>
    <w:rsid w:val="79982284"/>
    <w:rsid w:val="7998662D"/>
    <w:rsid w:val="7A8C5878"/>
    <w:rsid w:val="7B471854"/>
    <w:rsid w:val="7C552333"/>
    <w:rsid w:val="7CA86C55"/>
    <w:rsid w:val="7CF019C1"/>
    <w:rsid w:val="7D461CAD"/>
    <w:rsid w:val="7E28286A"/>
    <w:rsid w:val="7E4515FE"/>
    <w:rsid w:val="7EAD59B2"/>
    <w:rsid w:val="7F91273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2"/>
    <w:next w:val="1"/>
    <w:link w:val="60"/>
    <w:qFormat/>
    <w:uiPriority w:val="0"/>
    <w:pPr>
      <w:spacing w:before="460" w:after="450" w:line="360" w:lineRule="auto"/>
      <w:jc w:val="center"/>
      <w:outlineLvl w:val="0"/>
    </w:pPr>
    <w:rPr>
      <w:rFonts w:eastAsiaTheme="minorEastAsia"/>
      <w:bCs w:val="0"/>
      <w:kern w:val="44"/>
      <w:sz w:val="44"/>
      <w:szCs w:val="28"/>
    </w:rPr>
  </w:style>
  <w:style w:type="paragraph" w:styleId="4">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2">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0"/>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63"/>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0"/>
    <w:rPr>
      <w:sz w:val="21"/>
      <w:szCs w:val="21"/>
    </w:rPr>
  </w:style>
  <w:style w:type="character" w:customStyle="1" w:styleId="59">
    <w:name w:val="标题 3 Char"/>
    <w:basedOn w:val="52"/>
    <w:link w:val="2"/>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4"/>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0"/>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0"/>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2"/>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4"/>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纯文本 Char2"/>
    <w:qFormat/>
    <w:uiPriority w:val="99"/>
    <w:rPr>
      <w:rFonts w:ascii="宋体" w:hAnsi="Courier New"/>
      <w:kern w:val="2"/>
      <w:sz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25C980-14EF-4BFC-BDDF-F6549B74D28C}">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73</Pages>
  <Words>45884</Words>
  <Characters>49086</Characters>
  <Lines>397</Lines>
  <Paragraphs>111</Paragraphs>
  <TotalTime>22</TotalTime>
  <ScaleCrop>false</ScaleCrop>
  <LinksUpToDate>false</LinksUpToDate>
  <CharactersWithSpaces>51523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是创不是灿</cp:lastModifiedBy>
  <cp:lastPrinted>2020-05-26T01:03:00Z</cp:lastPrinted>
  <dcterms:modified xsi:type="dcterms:W3CDTF">2022-11-25T10:49:42Z</dcterms:modified>
  <dc:title>招标编号：UHO2010-G0029</dc:title>
  <cp:revision>538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EB157EB855A749259D91F3E4AF43E341</vt:lpwstr>
  </property>
</Properties>
</file>